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AEE7" w14:textId="19721338" w:rsidR="00D956EA" w:rsidRPr="0000657B" w:rsidRDefault="00284321" w:rsidP="00CF753D">
      <w:pPr>
        <w:pStyle w:val="Heading7"/>
        <w:rPr>
          <w:rFonts w:ascii="Times New Roman" w:hAnsi="Times New Roman"/>
          <w:b w:val="0"/>
          <w:bCs/>
        </w:rPr>
      </w:pPr>
      <w:bookmarkStart w:id="0" w:name="OLE_LINK2"/>
      <w:r w:rsidRPr="00D956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02C7F" wp14:editId="53D0BB50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4179570" cy="2790825"/>
                <wp:effectExtent l="0" t="0" r="0" b="952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2790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E43B6" w14:textId="134C2A31" w:rsidR="00D956EA" w:rsidRDefault="00D956EA" w:rsidP="00D956EA">
                            <w:pPr>
                              <w:spacing w:before="120"/>
                              <w:ind w:right="52"/>
                              <w:jc w:val="center"/>
                              <w:rPr>
                                <w:rFonts w:ascii="Helvetica Light" w:hAnsi="Helvetica Light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Supporting Resource 2b</w:t>
                            </w:r>
                          </w:p>
                          <w:p w14:paraId="52583FF5" w14:textId="02698B75" w:rsidR="00D956EA" w:rsidRPr="009668DC" w:rsidRDefault="00D956EA" w:rsidP="00D956EA">
                            <w:pPr>
                              <w:spacing w:before="120"/>
                              <w:ind w:right="52"/>
                              <w:jc w:val="center"/>
                              <w:rPr>
                                <w:rFonts w:ascii="Helvetica Light" w:hAnsi="Helvetica Light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ight" w:hAnsi="Helvetica Light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TEMPLATE</w:t>
                            </w:r>
                            <w:r w:rsidRPr="009668DC">
                              <w:rPr>
                                <w:rFonts w:ascii="Helvetica Light" w:hAnsi="Helvetica Light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MEMORANDUM OF UNDERSTANDING</w:t>
                            </w:r>
                          </w:p>
                          <w:p w14:paraId="1E9A859A" w14:textId="77777777" w:rsidR="00D956EA" w:rsidRPr="009668DC" w:rsidRDefault="00D956EA" w:rsidP="00D956EA">
                            <w:pPr>
                              <w:ind w:right="52"/>
                              <w:jc w:val="center"/>
                              <w:rPr>
                                <w:rFonts w:ascii="Helvetica Light" w:hAnsi="Helvetica Light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68DC">
                              <w:rPr>
                                <w:rFonts w:ascii="Helvetica Light" w:hAnsi="Helvetica Light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TO SUPPORT SHARING OF GENDER-BASED VIOLENCE ADMINISTRATIVE DATA</w:t>
                            </w:r>
                          </w:p>
                          <w:p w14:paraId="2904387E" w14:textId="77777777" w:rsidR="00D956EA" w:rsidRPr="009668DC" w:rsidRDefault="00D956EA" w:rsidP="00D956EA">
                            <w:pPr>
                              <w:ind w:right="52"/>
                              <w:rPr>
                                <w:rFonts w:ascii="Helvetica Light" w:hAnsi="Helvetica Ligh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F8018F" w14:textId="6274EA3C" w:rsidR="00D956EA" w:rsidRPr="00E92583" w:rsidRDefault="00D956EA" w:rsidP="00D956EA">
                            <w:pPr>
                              <w:shd w:val="clear" w:color="auto" w:fill="FBE4D5" w:themeFill="accent2" w:themeFillTint="33"/>
                              <w:ind w:right="5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document is a TEMPLATE for a Memorandum of Understanding between agencies sharing gender-based violence (GBV) administrative data. You may find this helpful to draw on in preparing your own Memorandum of Understanding agreements. </w:t>
                            </w:r>
                            <w:r w:rsidR="00686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Information you will need to change to reflect your organisation/context is </w:t>
                            </w:r>
                            <w:r w:rsidR="00686545" w:rsidRPr="00434B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  <w:t>highlighted in yellow</w:t>
                            </w:r>
                            <w:r w:rsidR="00686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You may delete this text box and logos as needed to prepare your Memorandum of Understanding.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02C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0;width:329.1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" fillcolor="#fbe4d5 [661]" stroked="f" strokeweight=".5pt">
                <v:textbox>
                  <w:txbxContent>
                    <w:p w14:paraId="035E43B6" w14:textId="134C2A31" w:rsidR="00D956EA" w:rsidRDefault="00D956EA" w:rsidP="00D956EA">
                      <w:pPr>
                        <w:spacing w:before="120"/>
                        <w:ind w:right="52"/>
                        <w:jc w:val="center"/>
                        <w:rPr>
                          <w:rFonts w:ascii="Helvetica Light" w:hAnsi="Helvetica Light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bCs/>
                          <w:sz w:val="28"/>
                          <w:szCs w:val="28"/>
                        </w:rPr>
                        <w:t>Supporting Resource 2b</w:t>
                      </w:r>
                    </w:p>
                    <w:p w14:paraId="52583FF5" w14:textId="02698B75" w:rsidR="00D956EA" w:rsidRPr="009668DC" w:rsidRDefault="00D956EA" w:rsidP="00D956EA">
                      <w:pPr>
                        <w:spacing w:before="120"/>
                        <w:ind w:right="52"/>
                        <w:jc w:val="center"/>
                        <w:rPr>
                          <w:rFonts w:ascii="Helvetica Light" w:hAnsi="Helvetica Light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 Light" w:hAnsi="Helvetica Light" w:cstheme="minorHAnsi"/>
                          <w:b/>
                          <w:bCs/>
                          <w:sz w:val="28"/>
                          <w:szCs w:val="28"/>
                        </w:rPr>
                        <w:t>TEMPLATE</w:t>
                      </w:r>
                      <w:r w:rsidRPr="009668DC">
                        <w:rPr>
                          <w:rFonts w:ascii="Helvetica Light" w:hAnsi="Helvetica Light" w:cstheme="minorHAnsi"/>
                          <w:b/>
                          <w:bCs/>
                          <w:sz w:val="28"/>
                          <w:szCs w:val="28"/>
                        </w:rPr>
                        <w:t xml:space="preserve"> MEMORANDUM OF UNDERSTANDING</w:t>
                      </w:r>
                    </w:p>
                    <w:p w14:paraId="1E9A859A" w14:textId="77777777" w:rsidR="00D956EA" w:rsidRPr="009668DC" w:rsidRDefault="00D956EA" w:rsidP="00D956EA">
                      <w:pPr>
                        <w:ind w:right="52"/>
                        <w:jc w:val="center"/>
                        <w:rPr>
                          <w:rFonts w:ascii="Helvetica Light" w:hAnsi="Helvetica Light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668DC">
                        <w:rPr>
                          <w:rFonts w:ascii="Helvetica Light" w:hAnsi="Helvetica Light" w:cstheme="minorHAnsi"/>
                          <w:b/>
                          <w:bCs/>
                          <w:sz w:val="28"/>
                          <w:szCs w:val="28"/>
                        </w:rPr>
                        <w:t>TO SUPPORT SHARING OF GENDER-BASED VIOLENCE ADMINISTRATIVE DATA</w:t>
                      </w:r>
                    </w:p>
                    <w:p w14:paraId="2904387E" w14:textId="77777777" w:rsidR="00D956EA" w:rsidRPr="009668DC" w:rsidRDefault="00D956EA" w:rsidP="00D956EA">
                      <w:pPr>
                        <w:ind w:right="52"/>
                        <w:rPr>
                          <w:rFonts w:ascii="Helvetica Light" w:hAnsi="Helvetica Light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F8018F" w14:textId="6274EA3C" w:rsidR="00D956EA" w:rsidRPr="00E92583" w:rsidRDefault="00D956EA" w:rsidP="00D956EA">
                      <w:pPr>
                        <w:shd w:val="clear" w:color="auto" w:fill="FBE4D5" w:themeFill="accent2" w:themeFillTint="33"/>
                        <w:ind w:right="5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document is a TEMPLATE for a Memorandum of Understanding between agencies sharing gender-based violence (GBV) administrative data. You may find this helpful to draw on in preparing your own Memorandum of Understanding agreements. </w:t>
                      </w:r>
                      <w:r w:rsidR="00686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Information you will need to change to reflect your organisation/context is </w:t>
                      </w:r>
                      <w:r w:rsidR="00686545" w:rsidRPr="00434BDE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highlighted in yellow</w:t>
                      </w:r>
                      <w:r w:rsidR="00686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You may delete this text box and logos as needed to prepare your Memorandum of Understanding.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657B">
        <w:rPr>
          <w:noProof/>
        </w:rPr>
        <w:drawing>
          <wp:anchor distT="0" distB="0" distL="114300" distR="114300" simplePos="0" relativeHeight="251666432" behindDoc="0" locked="0" layoutInCell="1" allowOverlap="1" wp14:anchorId="503F694C" wp14:editId="32CB8550">
            <wp:simplePos x="0" y="0"/>
            <wp:positionH relativeFrom="margin">
              <wp:posOffset>4199974</wp:posOffset>
            </wp:positionH>
            <wp:positionV relativeFrom="paragraph">
              <wp:posOffset>2778</wp:posOffset>
            </wp:positionV>
            <wp:extent cx="1096966" cy="900000"/>
            <wp:effectExtent l="0" t="0" r="8255" b="0"/>
            <wp:wrapNone/>
            <wp:docPr id="1" name="Picture 1" descr="kNOwVAW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wVAWd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6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6EA" w:rsidRPr="00D956EA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6875BCF2" wp14:editId="228A0A67">
            <wp:simplePos x="0" y="0"/>
            <wp:positionH relativeFrom="column">
              <wp:posOffset>5297170</wp:posOffset>
            </wp:positionH>
            <wp:positionV relativeFrom="paragraph">
              <wp:posOffset>-635</wp:posOffset>
            </wp:positionV>
            <wp:extent cx="899795" cy="899795"/>
            <wp:effectExtent l="0" t="0" r="1905" b="1905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F1659" w14:textId="77777777" w:rsidR="00D956EA" w:rsidRDefault="00D956EA" w:rsidP="00686545">
      <w:pPr>
        <w:pStyle w:val="Heading7"/>
        <w:pBdr>
          <w:bottom w:val="single" w:sz="4" w:space="1" w:color="000000" w:themeColor="text1"/>
        </w:pBdr>
        <w:rPr>
          <w:rFonts w:ascii="Times New Roman" w:hAnsi="Times New Roman"/>
        </w:rPr>
      </w:pPr>
    </w:p>
    <w:p w14:paraId="70CE2D37" w14:textId="77777777" w:rsidR="00D956EA" w:rsidRDefault="00D956EA">
      <w:pPr>
        <w:pStyle w:val="Heading7"/>
        <w:rPr>
          <w:rFonts w:ascii="Times New Roman" w:hAnsi="Times New Roman"/>
        </w:rPr>
      </w:pPr>
    </w:p>
    <w:p w14:paraId="6747F076" w14:textId="77777777" w:rsidR="00D956EA" w:rsidRDefault="00D956EA" w:rsidP="00F01D13">
      <w:pPr>
        <w:pStyle w:val="Heading7"/>
        <w:jc w:val="left"/>
        <w:rPr>
          <w:rFonts w:ascii="Times New Roman" w:hAnsi="Times New Roman"/>
        </w:rPr>
      </w:pPr>
    </w:p>
    <w:p w14:paraId="43B2CB8D" w14:textId="02C12233" w:rsidR="00D956EA" w:rsidRDefault="00D956EA">
      <w:pPr>
        <w:pStyle w:val="Heading7"/>
        <w:rPr>
          <w:rFonts w:ascii="Times New Roman" w:hAnsi="Times New Roman"/>
        </w:rPr>
      </w:pPr>
    </w:p>
    <w:p w14:paraId="1EE99DFA" w14:textId="77777777" w:rsidR="00D956EA" w:rsidRDefault="00D956EA">
      <w:pPr>
        <w:pStyle w:val="Heading7"/>
        <w:rPr>
          <w:rFonts w:ascii="Times New Roman" w:hAnsi="Times New Roman"/>
        </w:rPr>
      </w:pPr>
    </w:p>
    <w:p w14:paraId="2BB98DCA" w14:textId="3D37C0BB" w:rsidR="00B701B4" w:rsidRPr="00DE5DDE" w:rsidRDefault="008B3725">
      <w:pPr>
        <w:pStyle w:val="Heading7"/>
        <w:rPr>
          <w:rFonts w:ascii="Helvetica" w:hAnsi="Helvetica"/>
        </w:rPr>
      </w:pPr>
      <w:r w:rsidRPr="00DE5DDE">
        <w:rPr>
          <w:rFonts w:ascii="Helvetica" w:hAnsi="Helvetica"/>
        </w:rPr>
        <w:t xml:space="preserve"> [</w:t>
      </w:r>
      <w:r w:rsidRPr="00DE5DDE">
        <w:rPr>
          <w:rFonts w:ascii="Helvetica" w:hAnsi="Helvetica"/>
          <w:highlight w:val="yellow"/>
        </w:rPr>
        <w:t>insert name of GBV database</w:t>
      </w:r>
      <w:r w:rsidRPr="00DE5DDE">
        <w:rPr>
          <w:rFonts w:ascii="Helvetica" w:hAnsi="Helvetica"/>
        </w:rPr>
        <w:t>]</w:t>
      </w:r>
    </w:p>
    <w:bookmarkEnd w:id="0"/>
    <w:p w14:paraId="08813B74" w14:textId="77777777" w:rsidR="00102CD7" w:rsidRPr="00DE5DDE" w:rsidRDefault="00102CD7">
      <w:pPr>
        <w:pStyle w:val="Heading7"/>
        <w:rPr>
          <w:rFonts w:ascii="Helvetica" w:hAnsi="Helvetica"/>
        </w:rPr>
      </w:pPr>
      <w:r w:rsidRPr="00DE5DDE">
        <w:rPr>
          <w:rFonts w:ascii="Helvetica" w:hAnsi="Helvetica"/>
        </w:rPr>
        <w:t>MEMORANDUM OF UNDERSTANDING</w:t>
      </w:r>
    </w:p>
    <w:p w14:paraId="60D2860A" w14:textId="063F2512" w:rsidR="00102CD7" w:rsidRPr="00DE5DDE" w:rsidRDefault="00102CD7">
      <w:pPr>
        <w:spacing w:after="120"/>
        <w:jc w:val="center"/>
        <w:rPr>
          <w:rFonts w:ascii="Helvetica" w:hAnsi="Helvetica"/>
          <w:sz w:val="24"/>
        </w:rPr>
      </w:pPr>
    </w:p>
    <w:p w14:paraId="076D109E" w14:textId="77777777" w:rsidR="00102CD7" w:rsidRPr="00E337D2" w:rsidRDefault="00102CD7">
      <w:pPr>
        <w:spacing w:after="120"/>
        <w:jc w:val="center"/>
        <w:rPr>
          <w:rFonts w:ascii="Helvetica" w:hAnsi="Helvetica"/>
          <w:sz w:val="24"/>
        </w:rPr>
      </w:pPr>
      <w:r w:rsidRPr="00E337D2">
        <w:rPr>
          <w:rFonts w:ascii="Helvetica" w:hAnsi="Helvetica"/>
          <w:sz w:val="24"/>
        </w:rPr>
        <w:t>between</w:t>
      </w:r>
    </w:p>
    <w:p w14:paraId="7E232ED9" w14:textId="77777777" w:rsidR="00102CD7" w:rsidRPr="00E337D2" w:rsidRDefault="00097C38" w:rsidP="00DF495F">
      <w:pPr>
        <w:pStyle w:val="Heading5"/>
        <w:rPr>
          <w:rFonts w:ascii="Helvetica" w:hAnsi="Helvetica"/>
        </w:rPr>
      </w:pPr>
      <w:r w:rsidRPr="00E337D2">
        <w:rPr>
          <w:rFonts w:ascii="Helvetica" w:hAnsi="Helvetica"/>
        </w:rPr>
        <w:t xml:space="preserve"> [</w:t>
      </w:r>
      <w:r w:rsidR="008B3725" w:rsidRPr="00E337D2">
        <w:rPr>
          <w:rFonts w:ascii="Helvetica" w:hAnsi="Helvetica"/>
          <w:highlight w:val="yellow"/>
        </w:rPr>
        <w:t>A</w:t>
      </w:r>
      <w:r w:rsidRPr="00E337D2">
        <w:rPr>
          <w:rFonts w:ascii="Helvetica" w:hAnsi="Helvetica"/>
          <w:highlight w:val="yellow"/>
        </w:rPr>
        <w:t>gency providing data</w:t>
      </w:r>
      <w:r w:rsidRPr="00E337D2">
        <w:rPr>
          <w:rFonts w:ascii="Helvetica" w:hAnsi="Helvetica"/>
        </w:rPr>
        <w:t>]</w:t>
      </w:r>
    </w:p>
    <w:p w14:paraId="26C9368A" w14:textId="3246C80E" w:rsidR="00102CD7" w:rsidRPr="00E337D2" w:rsidRDefault="00102CD7">
      <w:pPr>
        <w:jc w:val="center"/>
        <w:rPr>
          <w:rFonts w:ascii="Helvetica" w:hAnsi="Helvetica"/>
          <w:sz w:val="24"/>
        </w:rPr>
      </w:pPr>
    </w:p>
    <w:p w14:paraId="103E21C7" w14:textId="77777777" w:rsidR="00102CD7" w:rsidRPr="00E337D2" w:rsidRDefault="00102CD7">
      <w:pPr>
        <w:jc w:val="center"/>
        <w:rPr>
          <w:rFonts w:ascii="Helvetica" w:hAnsi="Helvetica"/>
          <w:sz w:val="24"/>
        </w:rPr>
      </w:pPr>
      <w:r w:rsidRPr="00E337D2">
        <w:rPr>
          <w:rFonts w:ascii="Helvetica" w:hAnsi="Helvetica"/>
          <w:sz w:val="24"/>
        </w:rPr>
        <w:t>and</w:t>
      </w:r>
    </w:p>
    <w:p w14:paraId="3AA29A5F" w14:textId="77777777" w:rsidR="00102CD7" w:rsidRPr="00E337D2" w:rsidRDefault="00102CD7">
      <w:pPr>
        <w:jc w:val="center"/>
        <w:rPr>
          <w:rFonts w:ascii="Helvetica" w:hAnsi="Helvetica"/>
          <w:sz w:val="24"/>
        </w:rPr>
      </w:pPr>
    </w:p>
    <w:p w14:paraId="0B090881" w14:textId="4909CC05" w:rsidR="00102CD7" w:rsidRPr="00E337D2" w:rsidRDefault="00E30FC0">
      <w:pPr>
        <w:jc w:val="center"/>
        <w:rPr>
          <w:rFonts w:ascii="Helvetica" w:hAnsi="Helvetica"/>
          <w:b/>
          <w:sz w:val="24"/>
        </w:rPr>
      </w:pPr>
      <w:r w:rsidRPr="00E337D2">
        <w:rPr>
          <w:rFonts w:ascii="Helvetica" w:hAnsi="Helvetica"/>
          <w:b/>
          <w:sz w:val="24"/>
        </w:rPr>
        <w:t xml:space="preserve"> [</w:t>
      </w:r>
      <w:r w:rsidR="00097C38" w:rsidRPr="00E337D2">
        <w:rPr>
          <w:rFonts w:ascii="Helvetica" w:hAnsi="Helvetica"/>
          <w:b/>
          <w:sz w:val="24"/>
          <w:highlight w:val="yellow"/>
        </w:rPr>
        <w:t>Agency that will receive the data</w:t>
      </w:r>
      <w:r w:rsidRPr="00E337D2">
        <w:rPr>
          <w:rFonts w:ascii="Helvetica" w:hAnsi="Helvetica"/>
          <w:b/>
          <w:sz w:val="24"/>
        </w:rPr>
        <w:t>]</w:t>
      </w:r>
    </w:p>
    <w:p w14:paraId="7497F61B" w14:textId="77777777" w:rsidR="00102CD7" w:rsidRPr="000E4332" w:rsidRDefault="00102CD7">
      <w:pPr>
        <w:rPr>
          <w:sz w:val="24"/>
        </w:rPr>
      </w:pPr>
    </w:p>
    <w:p w14:paraId="04C96153" w14:textId="1CD3BB82" w:rsidR="00102CD7" w:rsidRPr="00DE3BF9" w:rsidRDefault="004D7296">
      <w:pPr>
        <w:pStyle w:val="Heading4"/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szCs w:val="24"/>
        </w:rPr>
        <w:t>S</w:t>
      </w:r>
      <w:r w:rsidR="00102CD7" w:rsidRPr="00DE3BF9">
        <w:rPr>
          <w:rFonts w:asciiTheme="minorHAnsi" w:hAnsiTheme="minorHAnsi" w:cstheme="minorHAnsi"/>
          <w:szCs w:val="24"/>
        </w:rPr>
        <w:t>UBJECT</w:t>
      </w:r>
    </w:p>
    <w:p w14:paraId="3CA755D7" w14:textId="77777777" w:rsidR="00102CD7" w:rsidRPr="00DE3BF9" w:rsidRDefault="00102CD7">
      <w:pPr>
        <w:rPr>
          <w:rFonts w:asciiTheme="minorHAnsi" w:hAnsiTheme="minorHAnsi" w:cstheme="minorHAnsi"/>
          <w:b/>
          <w:sz w:val="24"/>
          <w:szCs w:val="24"/>
        </w:rPr>
      </w:pPr>
    </w:p>
    <w:p w14:paraId="7A94E4C8" w14:textId="5F0D6D0B" w:rsidR="00102CD7" w:rsidRPr="00DE3BF9" w:rsidRDefault="00102CD7">
      <w:pPr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sz w:val="24"/>
          <w:szCs w:val="24"/>
        </w:rPr>
        <w:t>This Memorandum of Understanding relates to the rele</w:t>
      </w:r>
      <w:r w:rsidR="00B2190F" w:rsidRPr="00DE3BF9">
        <w:rPr>
          <w:rFonts w:asciiTheme="minorHAnsi" w:hAnsiTheme="minorHAnsi" w:cstheme="minorHAnsi"/>
          <w:sz w:val="24"/>
          <w:szCs w:val="24"/>
        </w:rPr>
        <w:t xml:space="preserve">ase of data detailed in Appendices 1 </w:t>
      </w:r>
      <w:r w:rsidRPr="00DE3BF9">
        <w:rPr>
          <w:rFonts w:asciiTheme="minorHAnsi" w:hAnsiTheme="minorHAnsi" w:cstheme="minorHAnsi"/>
          <w:sz w:val="24"/>
          <w:szCs w:val="24"/>
        </w:rPr>
        <w:t>re</w:t>
      </w:r>
      <w:r w:rsidR="00C749B3" w:rsidRPr="00DE3BF9">
        <w:rPr>
          <w:rFonts w:asciiTheme="minorHAnsi" w:hAnsiTheme="minorHAnsi" w:cstheme="minorHAnsi"/>
          <w:sz w:val="24"/>
          <w:szCs w:val="24"/>
        </w:rPr>
        <w:t xml:space="preserve">lating to incidents </w:t>
      </w:r>
      <w:r w:rsidR="00097C38" w:rsidRPr="00DE3BF9">
        <w:rPr>
          <w:rFonts w:asciiTheme="minorHAnsi" w:hAnsiTheme="minorHAnsi" w:cstheme="minorHAnsi"/>
          <w:sz w:val="24"/>
          <w:szCs w:val="24"/>
        </w:rPr>
        <w:t xml:space="preserve">of GBV </w:t>
      </w:r>
      <w:r w:rsidR="004D7296" w:rsidRPr="00DE3BF9">
        <w:rPr>
          <w:rFonts w:asciiTheme="minorHAnsi" w:hAnsiTheme="minorHAnsi" w:cstheme="minorHAnsi"/>
          <w:sz w:val="24"/>
          <w:szCs w:val="24"/>
        </w:rPr>
        <w:t xml:space="preserve">recorded by </w:t>
      </w:r>
      <w:r w:rsidR="008B3725" w:rsidRPr="00DE3BF9">
        <w:rPr>
          <w:rFonts w:asciiTheme="minorHAnsi" w:hAnsiTheme="minorHAnsi" w:cstheme="minorHAnsi"/>
          <w:sz w:val="24"/>
          <w:szCs w:val="24"/>
        </w:rPr>
        <w:t>[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agency providing data</w:t>
      </w:r>
      <w:r w:rsidR="008B3725" w:rsidRPr="00DE3BF9">
        <w:rPr>
          <w:rFonts w:asciiTheme="minorHAnsi" w:hAnsiTheme="minorHAnsi" w:cstheme="minorHAnsi"/>
          <w:sz w:val="24"/>
          <w:szCs w:val="24"/>
        </w:rPr>
        <w:t>]</w:t>
      </w:r>
      <w:r w:rsidR="00C749B3" w:rsidRPr="00DE3BF9">
        <w:rPr>
          <w:rFonts w:asciiTheme="minorHAnsi" w:hAnsiTheme="minorHAnsi" w:cstheme="minorHAnsi"/>
          <w:sz w:val="24"/>
          <w:szCs w:val="24"/>
        </w:rPr>
        <w:t xml:space="preserve"> to the</w:t>
      </w:r>
      <w:r w:rsidR="00675361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8B3725" w:rsidRPr="00DE3BF9">
        <w:rPr>
          <w:rFonts w:asciiTheme="minorHAnsi" w:hAnsiTheme="minorHAnsi" w:cstheme="minorHAnsi"/>
          <w:sz w:val="24"/>
          <w:szCs w:val="24"/>
        </w:rPr>
        <w:t>[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agency receiving data</w:t>
      </w:r>
      <w:r w:rsidR="008B3725" w:rsidRPr="00DE3BF9">
        <w:rPr>
          <w:rFonts w:asciiTheme="minorHAnsi" w:hAnsiTheme="minorHAnsi" w:cstheme="minorHAnsi"/>
          <w:sz w:val="24"/>
          <w:szCs w:val="24"/>
        </w:rPr>
        <w:t>]</w:t>
      </w:r>
      <w:r w:rsidRPr="00DE3BF9">
        <w:rPr>
          <w:rFonts w:asciiTheme="minorHAnsi" w:hAnsiTheme="minorHAnsi" w:cstheme="minorHAnsi"/>
          <w:sz w:val="24"/>
          <w:szCs w:val="24"/>
        </w:rPr>
        <w:t xml:space="preserve"> for use in the </w:t>
      </w:r>
      <w:r w:rsidR="00097C38" w:rsidRPr="00DE3BF9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GBV administrative database</w:t>
      </w:r>
      <w:r w:rsidRPr="00DE3BF9">
        <w:rPr>
          <w:rFonts w:asciiTheme="minorHAnsi" w:hAnsiTheme="minorHAnsi" w:cstheme="minorHAnsi"/>
          <w:sz w:val="24"/>
          <w:szCs w:val="24"/>
        </w:rPr>
        <w:t>.</w:t>
      </w:r>
    </w:p>
    <w:p w14:paraId="3D19B807" w14:textId="2DE62FE3" w:rsidR="00102CD7" w:rsidRPr="00DE3BF9" w:rsidRDefault="00102CD7">
      <w:pPr>
        <w:rPr>
          <w:rFonts w:asciiTheme="minorHAnsi" w:hAnsiTheme="minorHAnsi" w:cstheme="minorHAnsi"/>
          <w:sz w:val="24"/>
          <w:szCs w:val="24"/>
        </w:rPr>
      </w:pPr>
    </w:p>
    <w:p w14:paraId="1EB5C9A0" w14:textId="710C6A98" w:rsidR="00102CD7" w:rsidRPr="00DE3BF9" w:rsidRDefault="00102CD7">
      <w:pPr>
        <w:rPr>
          <w:rFonts w:asciiTheme="minorHAnsi" w:hAnsiTheme="minorHAnsi" w:cstheme="minorHAnsi"/>
          <w:sz w:val="24"/>
          <w:szCs w:val="24"/>
        </w:rPr>
      </w:pPr>
    </w:p>
    <w:p w14:paraId="2248C5C5" w14:textId="61C74C2A" w:rsidR="00A16EE0" w:rsidRDefault="00CF753D">
      <w:pPr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D956EA">
        <w:rPr>
          <w:noProof/>
        </w:rPr>
        <w:drawing>
          <wp:anchor distT="0" distB="0" distL="114300" distR="114300" simplePos="0" relativeHeight="251662336" behindDoc="0" locked="0" layoutInCell="1" allowOverlap="1" wp14:anchorId="00BC3CF7" wp14:editId="71D34ECF">
            <wp:simplePos x="0" y="0"/>
            <wp:positionH relativeFrom="column">
              <wp:posOffset>-128270</wp:posOffset>
            </wp:positionH>
            <wp:positionV relativeFrom="paragraph">
              <wp:posOffset>1236980</wp:posOffset>
            </wp:positionV>
            <wp:extent cx="4227830" cy="899795"/>
            <wp:effectExtent l="0" t="0" r="0" b="0"/>
            <wp:wrapNone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095">
        <w:rPr>
          <w:rFonts w:ascii="Calibri" w:eastAsia="Calibri" w:hAnsi="Calibri"/>
          <w:i/>
          <w:noProof/>
        </w:rPr>
        <w:drawing>
          <wp:anchor distT="0" distB="0" distL="114300" distR="114300" simplePos="0" relativeHeight="251664384" behindDoc="1" locked="0" layoutInCell="1" allowOverlap="1" wp14:anchorId="389BF18B" wp14:editId="12F8E76F">
            <wp:simplePos x="0" y="0"/>
            <wp:positionH relativeFrom="column">
              <wp:posOffset>4660900</wp:posOffset>
            </wp:positionH>
            <wp:positionV relativeFrom="paragraph">
              <wp:posOffset>1328965</wp:posOffset>
            </wp:positionV>
            <wp:extent cx="1529715" cy="719455"/>
            <wp:effectExtent l="0" t="0" r="0" b="4445"/>
            <wp:wrapNone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E0">
        <w:rPr>
          <w:rFonts w:asciiTheme="minorHAnsi" w:hAnsiTheme="minorHAnsi" w:cstheme="minorHAnsi"/>
          <w:b/>
          <w:szCs w:val="24"/>
          <w:highlight w:val="yellow"/>
        </w:rPr>
        <w:br w:type="page"/>
      </w:r>
    </w:p>
    <w:p w14:paraId="3F04B3E0" w14:textId="71173492" w:rsidR="00102CD7" w:rsidRPr="00DE3BF9" w:rsidRDefault="004D729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  <w:r w:rsidRPr="00DE3BF9">
        <w:rPr>
          <w:rFonts w:asciiTheme="minorHAnsi" w:hAnsiTheme="minorHAnsi" w:cstheme="minorHAnsi"/>
          <w:b/>
          <w:szCs w:val="24"/>
          <w:highlight w:val="yellow"/>
        </w:rPr>
        <w:lastRenderedPageBreak/>
        <w:t xml:space="preserve">The </w:t>
      </w:r>
      <w:r w:rsidR="008B3725" w:rsidRPr="00DE3BF9">
        <w:rPr>
          <w:rFonts w:asciiTheme="minorHAnsi" w:hAnsiTheme="minorHAnsi" w:cstheme="minorHAnsi"/>
          <w:b/>
          <w:szCs w:val="24"/>
          <w:highlight w:val="yellow"/>
        </w:rPr>
        <w:t>[agency providing data]</w:t>
      </w:r>
      <w:r w:rsidR="00102CD7" w:rsidRPr="00DE3BF9">
        <w:rPr>
          <w:rFonts w:asciiTheme="minorHAnsi" w:hAnsiTheme="minorHAnsi" w:cstheme="minorHAnsi"/>
          <w:b/>
          <w:szCs w:val="24"/>
        </w:rPr>
        <w:t>:</w:t>
      </w:r>
    </w:p>
    <w:p w14:paraId="32756D6B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5DF381ED" w14:textId="77777777" w:rsidR="00102CD7" w:rsidRPr="00DE3BF9" w:rsidRDefault="00102CD7" w:rsidP="00BB45A0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will</w:t>
      </w:r>
      <w:r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DE251E" w:rsidRPr="00DE3BF9">
        <w:rPr>
          <w:rFonts w:asciiTheme="minorHAnsi" w:hAnsiTheme="minorHAnsi" w:cstheme="minorHAnsi"/>
          <w:sz w:val="24"/>
          <w:szCs w:val="24"/>
        </w:rPr>
        <w:t xml:space="preserve">provide data relating to incidents </w:t>
      </w:r>
      <w:r w:rsidR="004D7296" w:rsidRPr="00DE3BF9">
        <w:rPr>
          <w:rFonts w:asciiTheme="minorHAnsi" w:hAnsiTheme="minorHAnsi" w:cstheme="minorHAnsi"/>
          <w:sz w:val="24"/>
          <w:szCs w:val="24"/>
        </w:rPr>
        <w:t xml:space="preserve">recorded by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DE251E" w:rsidRPr="00DE3BF9">
        <w:rPr>
          <w:rFonts w:asciiTheme="minorHAnsi" w:hAnsiTheme="minorHAnsi" w:cstheme="minorHAnsi"/>
          <w:sz w:val="24"/>
          <w:szCs w:val="24"/>
        </w:rPr>
        <w:t xml:space="preserve"> to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="00DE251E" w:rsidRPr="00DE3BF9">
        <w:rPr>
          <w:rFonts w:asciiTheme="minorHAnsi" w:hAnsiTheme="minorHAnsi" w:cstheme="minorHAnsi"/>
          <w:sz w:val="24"/>
          <w:szCs w:val="24"/>
        </w:rPr>
        <w:t xml:space="preserve"> for use in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  <w:r w:rsidR="00B31CC7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DE251E" w:rsidRPr="00DE3BF9">
        <w:rPr>
          <w:rFonts w:asciiTheme="minorHAnsi" w:hAnsiTheme="minorHAnsi" w:cstheme="minorHAnsi"/>
          <w:sz w:val="24"/>
          <w:szCs w:val="24"/>
        </w:rPr>
        <w:t>“</w:t>
      </w:r>
      <w:proofErr w:type="gramStart"/>
      <w:r w:rsidR="00DE251E" w:rsidRPr="00DE3BF9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="00DE251E" w:rsidRPr="00DE3BF9">
        <w:rPr>
          <w:rFonts w:asciiTheme="minorHAnsi" w:hAnsiTheme="minorHAnsi" w:cstheme="minorHAnsi"/>
          <w:sz w:val="24"/>
          <w:szCs w:val="24"/>
        </w:rPr>
        <w:t xml:space="preserve"> confidence”.</w:t>
      </w:r>
    </w:p>
    <w:p w14:paraId="61CC5C0E" w14:textId="77777777" w:rsidR="00102CD7" w:rsidRPr="00DE3BF9" w:rsidRDefault="00DE251E" w:rsidP="00BB45A0">
      <w:pPr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warrants</w:t>
      </w:r>
      <w:r w:rsidRPr="00DE3BF9">
        <w:rPr>
          <w:rFonts w:asciiTheme="minorHAnsi" w:hAnsiTheme="minorHAnsi" w:cstheme="minorHAnsi"/>
          <w:sz w:val="24"/>
          <w:szCs w:val="24"/>
        </w:rPr>
        <w:t xml:space="preserve"> that it has the right to release the data to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="000D0EF3" w:rsidRPr="00DE3BF9">
        <w:rPr>
          <w:rFonts w:asciiTheme="minorHAnsi" w:hAnsiTheme="minorHAnsi" w:cstheme="minorHAnsi"/>
          <w:sz w:val="24"/>
          <w:szCs w:val="24"/>
        </w:rPr>
        <w:t xml:space="preserve"> for</w:t>
      </w:r>
      <w:r w:rsidR="00102CD7" w:rsidRPr="00DE3BF9">
        <w:rPr>
          <w:rFonts w:asciiTheme="minorHAnsi" w:hAnsiTheme="minorHAnsi" w:cstheme="minorHAnsi"/>
          <w:sz w:val="24"/>
          <w:szCs w:val="24"/>
        </w:rPr>
        <w:t xml:space="preserve"> use in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GBV administrative </w:t>
      </w:r>
      <w:r w:rsidR="00EC4A92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database.</w:t>
      </w:r>
    </w:p>
    <w:p w14:paraId="77F461B2" w14:textId="77777777" w:rsidR="000D0EF3" w:rsidRPr="00DE3BF9" w:rsidRDefault="00DE251E" w:rsidP="00BB45A0">
      <w:pPr>
        <w:numPr>
          <w:ilvl w:val="0"/>
          <w:numId w:val="1"/>
        </w:numPr>
        <w:spacing w:after="120"/>
        <w:ind w:left="357" w:right="140" w:hanging="357"/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will</w:t>
      </w:r>
      <w:r w:rsidRPr="00DE3BF9">
        <w:rPr>
          <w:rFonts w:asciiTheme="minorHAnsi" w:hAnsiTheme="minorHAnsi" w:cstheme="minorHAnsi"/>
          <w:sz w:val="24"/>
          <w:szCs w:val="24"/>
        </w:rPr>
        <w:t xml:space="preserve"> provide data relating to </w:t>
      </w:r>
      <w:r w:rsidR="00E30FC0" w:rsidRPr="00DE3BF9">
        <w:rPr>
          <w:rFonts w:asciiTheme="minorHAnsi" w:hAnsiTheme="minorHAnsi" w:cstheme="minorHAnsi"/>
          <w:sz w:val="24"/>
          <w:szCs w:val="24"/>
        </w:rPr>
        <w:t>GBV</w:t>
      </w:r>
      <w:r w:rsidR="000D0EF3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Pr="00DE3BF9">
        <w:rPr>
          <w:rFonts w:asciiTheme="minorHAnsi" w:hAnsiTheme="minorHAnsi" w:cstheme="minorHAnsi"/>
          <w:sz w:val="24"/>
          <w:szCs w:val="24"/>
        </w:rPr>
        <w:t xml:space="preserve">incidents </w:t>
      </w:r>
      <w:r w:rsidR="004D7296" w:rsidRPr="00DE3BF9">
        <w:rPr>
          <w:rFonts w:asciiTheme="minorHAnsi" w:hAnsiTheme="minorHAnsi" w:cstheme="minorHAnsi"/>
          <w:sz w:val="24"/>
          <w:szCs w:val="24"/>
        </w:rPr>
        <w:t>recorded by</w:t>
      </w:r>
      <w:r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Pr="00DE3BF9">
        <w:rPr>
          <w:rFonts w:asciiTheme="minorHAnsi" w:hAnsiTheme="minorHAnsi" w:cstheme="minorHAnsi"/>
          <w:sz w:val="24"/>
          <w:szCs w:val="24"/>
        </w:rPr>
        <w:t xml:space="preserve"> to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Pr="00DE3BF9">
        <w:rPr>
          <w:rFonts w:asciiTheme="minorHAnsi" w:hAnsiTheme="minorHAnsi" w:cstheme="minorHAnsi"/>
          <w:sz w:val="24"/>
          <w:szCs w:val="24"/>
        </w:rPr>
        <w:t xml:space="preserve"> for use in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  <w:r w:rsidRPr="00DE3BF9">
        <w:rPr>
          <w:rFonts w:asciiTheme="minorHAnsi" w:hAnsiTheme="minorHAnsi" w:cstheme="minorHAnsi"/>
          <w:sz w:val="24"/>
          <w:szCs w:val="24"/>
        </w:rPr>
        <w:t xml:space="preserve"> Data will be </w:t>
      </w:r>
      <w:r w:rsidR="000D0EF3" w:rsidRPr="00DE3BF9">
        <w:rPr>
          <w:rFonts w:asciiTheme="minorHAnsi" w:hAnsiTheme="minorHAnsi" w:cstheme="minorHAnsi"/>
          <w:sz w:val="24"/>
          <w:szCs w:val="24"/>
        </w:rPr>
        <w:t xml:space="preserve">provided in one of the following formats: Microsoft Excel, ascii .txt or .csv format and </w:t>
      </w:r>
      <w:r w:rsidRPr="00DE3BF9">
        <w:rPr>
          <w:rFonts w:asciiTheme="minorHAnsi" w:hAnsiTheme="minorHAnsi" w:cstheme="minorHAnsi"/>
          <w:sz w:val="24"/>
          <w:szCs w:val="24"/>
        </w:rPr>
        <w:t xml:space="preserve">directly transferred from </w:t>
      </w:r>
      <w:r w:rsidR="000D0EF3" w:rsidRPr="00DE3BF9">
        <w:rPr>
          <w:rFonts w:asciiTheme="minorHAnsi" w:hAnsiTheme="minorHAnsi" w:cstheme="minorHAnsi"/>
          <w:sz w:val="24"/>
          <w:szCs w:val="24"/>
          <w:highlight w:val="yellow"/>
        </w:rPr>
        <w:t>Corporate Statistics</w:t>
      </w:r>
      <w:r w:rsidRPr="00DE3BF9">
        <w:rPr>
          <w:rFonts w:asciiTheme="minorHAnsi" w:hAnsiTheme="minorHAnsi" w:cstheme="minorHAnsi"/>
          <w:sz w:val="24"/>
          <w:szCs w:val="24"/>
        </w:rPr>
        <w:t>.</w:t>
      </w:r>
    </w:p>
    <w:p w14:paraId="7554D6FB" w14:textId="77777777" w:rsidR="00102CD7" w:rsidRPr="00DE3BF9" w:rsidRDefault="00102CD7" w:rsidP="00BB45A0">
      <w:pPr>
        <w:numPr>
          <w:ilvl w:val="0"/>
          <w:numId w:val="1"/>
        </w:numPr>
        <w:spacing w:after="120"/>
        <w:ind w:left="357" w:right="140" w:hanging="357"/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will</w:t>
      </w:r>
      <w:r w:rsidRPr="00DE3BF9">
        <w:rPr>
          <w:rFonts w:asciiTheme="minorHAnsi" w:hAnsiTheme="minorHAnsi" w:cstheme="minorHAnsi"/>
          <w:sz w:val="24"/>
          <w:szCs w:val="24"/>
        </w:rPr>
        <w:t xml:space="preserve"> provide data </w:t>
      </w:r>
      <w:r w:rsidR="000D0EF3" w:rsidRPr="00DE3BF9">
        <w:rPr>
          <w:rFonts w:asciiTheme="minorHAnsi" w:hAnsiTheme="minorHAnsi" w:cstheme="minorHAnsi"/>
          <w:sz w:val="24"/>
          <w:szCs w:val="24"/>
        </w:rPr>
        <w:t xml:space="preserve">relating to incidents attended by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0D0EF3" w:rsidRPr="00DE3BF9">
        <w:rPr>
          <w:rFonts w:asciiTheme="minorHAnsi" w:hAnsiTheme="minorHAnsi" w:cstheme="minorHAnsi"/>
          <w:sz w:val="24"/>
          <w:szCs w:val="24"/>
        </w:rPr>
        <w:t xml:space="preserve"> to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="000D0EF3" w:rsidRPr="00DE3BF9">
        <w:rPr>
          <w:rFonts w:asciiTheme="minorHAnsi" w:hAnsiTheme="minorHAnsi" w:cstheme="minorHAnsi"/>
          <w:sz w:val="24"/>
          <w:szCs w:val="24"/>
        </w:rPr>
        <w:t xml:space="preserve"> for use in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  <w:r w:rsidR="000D0EF3" w:rsidRPr="00DE3BF9">
        <w:rPr>
          <w:rFonts w:asciiTheme="minorHAnsi" w:hAnsiTheme="minorHAnsi" w:cstheme="minorHAnsi"/>
          <w:sz w:val="24"/>
          <w:szCs w:val="24"/>
        </w:rPr>
        <w:t xml:space="preserve"> on an annual basis in relation</w:t>
      </w:r>
      <w:r w:rsidR="00B31CC7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Pr="00DE3BF9">
        <w:rPr>
          <w:rFonts w:asciiTheme="minorHAnsi" w:hAnsiTheme="minorHAnsi" w:cstheme="minorHAnsi"/>
          <w:sz w:val="24"/>
          <w:szCs w:val="24"/>
        </w:rPr>
        <w:t>to those financial years where data is readily available.</w:t>
      </w:r>
    </w:p>
    <w:p w14:paraId="52C85BFC" w14:textId="565C9FDA" w:rsidR="00102CD7" w:rsidRPr="00DE3BF9" w:rsidRDefault="00AF6347" w:rsidP="32AC6B8A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/>
        <w:ind w:left="357" w:hanging="357"/>
        <w:rPr>
          <w:rFonts w:asciiTheme="minorHAnsi" w:hAnsiTheme="minorHAnsi" w:cstheme="minorBidi"/>
        </w:rPr>
      </w:pPr>
      <w:r w:rsidRPr="32AC6B8A">
        <w:rPr>
          <w:rFonts w:asciiTheme="minorHAnsi" w:hAnsiTheme="minorHAnsi" w:cstheme="minorBidi"/>
          <w:b/>
          <w:bCs/>
        </w:rPr>
        <w:t>will</w:t>
      </w:r>
      <w:r w:rsidRPr="32AC6B8A">
        <w:rPr>
          <w:rFonts w:asciiTheme="minorHAnsi" w:hAnsiTheme="minorHAnsi" w:cstheme="minorBidi"/>
        </w:rPr>
        <w:t xml:space="preserve"> comply with the Information Privacy Principles under the </w:t>
      </w:r>
      <w:r w:rsidR="004D7296" w:rsidRPr="32AC6B8A">
        <w:rPr>
          <w:rFonts w:asciiTheme="minorHAnsi" w:hAnsiTheme="minorHAnsi" w:cstheme="minorBidi"/>
          <w:i/>
          <w:iCs/>
          <w:highlight w:val="yellow"/>
        </w:rPr>
        <w:t>[insert reference to any relevant privacy act]</w:t>
      </w:r>
      <w:r w:rsidR="004D7296" w:rsidRPr="32AC6B8A">
        <w:rPr>
          <w:rFonts w:asciiTheme="minorHAnsi" w:hAnsiTheme="minorHAnsi" w:cstheme="minorBidi"/>
          <w:i/>
          <w:iCs/>
        </w:rPr>
        <w:t xml:space="preserve"> </w:t>
      </w:r>
      <w:r w:rsidRPr="32AC6B8A">
        <w:rPr>
          <w:rFonts w:asciiTheme="minorHAnsi" w:hAnsiTheme="minorHAnsi" w:cstheme="minorBidi"/>
        </w:rPr>
        <w:t xml:space="preserve">in relation to </w:t>
      </w:r>
      <w:r w:rsidR="00E30FC0" w:rsidRPr="32AC6B8A">
        <w:rPr>
          <w:rFonts w:asciiTheme="minorHAnsi" w:hAnsiTheme="minorHAnsi" w:cstheme="minorBidi"/>
        </w:rPr>
        <w:t>GBV</w:t>
      </w:r>
      <w:r w:rsidRPr="32AC6B8A">
        <w:rPr>
          <w:rFonts w:asciiTheme="minorHAnsi" w:hAnsiTheme="minorHAnsi" w:cstheme="minorBidi"/>
        </w:rPr>
        <w:t xml:space="preserve"> incidents </w:t>
      </w:r>
      <w:r w:rsidR="004D7296" w:rsidRPr="32AC6B8A">
        <w:rPr>
          <w:rFonts w:asciiTheme="minorHAnsi" w:hAnsiTheme="minorHAnsi" w:cstheme="minorBidi"/>
        </w:rPr>
        <w:t>recorded by</w:t>
      </w:r>
      <w:r w:rsidRPr="32AC6B8A">
        <w:rPr>
          <w:rFonts w:asciiTheme="minorHAnsi" w:hAnsiTheme="minorHAnsi" w:cstheme="minorBidi"/>
        </w:rPr>
        <w:t xml:space="preserve"> </w:t>
      </w:r>
      <w:r w:rsidR="008B3725" w:rsidRPr="32AC6B8A">
        <w:rPr>
          <w:rFonts w:asciiTheme="minorHAnsi" w:hAnsiTheme="minorHAnsi" w:cstheme="minorBidi"/>
          <w:highlight w:val="yellow"/>
        </w:rPr>
        <w:t>[agency providing data]</w:t>
      </w:r>
      <w:r w:rsidRPr="32AC6B8A">
        <w:rPr>
          <w:rFonts w:asciiTheme="minorHAnsi" w:hAnsiTheme="minorHAnsi" w:cstheme="minorBidi"/>
        </w:rPr>
        <w:t xml:space="preserve"> and provided to the </w:t>
      </w:r>
      <w:r w:rsidR="004D7296" w:rsidRPr="32AC6B8A">
        <w:rPr>
          <w:rFonts w:asciiTheme="minorHAnsi" w:hAnsiTheme="minorHAnsi" w:cstheme="minorBidi"/>
          <w:highlight w:val="yellow"/>
        </w:rPr>
        <w:t>[agency receiving data]</w:t>
      </w:r>
      <w:r w:rsidRPr="32AC6B8A">
        <w:rPr>
          <w:rFonts w:asciiTheme="minorHAnsi" w:hAnsiTheme="minorHAnsi" w:cstheme="minorBidi"/>
        </w:rPr>
        <w:t xml:space="preserve"> for use in the </w:t>
      </w:r>
      <w:r w:rsidR="004D7296" w:rsidRPr="32AC6B8A">
        <w:rPr>
          <w:rFonts w:asciiTheme="minorHAnsi" w:hAnsiTheme="minorHAnsi" w:cstheme="minorBidi"/>
          <w:i/>
          <w:iCs/>
          <w:highlight w:val="yellow"/>
        </w:rPr>
        <w:t>GBV administrative database.</w:t>
      </w:r>
    </w:p>
    <w:p w14:paraId="6B7DB5AD" w14:textId="77777777" w:rsidR="00AF6347" w:rsidRPr="00DE3BF9" w:rsidRDefault="00AF6347" w:rsidP="00BB45A0">
      <w:pPr>
        <w:numPr>
          <w:ilvl w:val="0"/>
          <w:numId w:val="1"/>
        </w:numPr>
        <w:spacing w:after="120"/>
        <w:ind w:left="357" w:right="140" w:hanging="357"/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will</w:t>
      </w:r>
      <w:r w:rsidRPr="00DE3BF9">
        <w:rPr>
          <w:rFonts w:asciiTheme="minorHAnsi" w:hAnsiTheme="minorHAnsi" w:cstheme="minorHAnsi"/>
          <w:sz w:val="24"/>
          <w:szCs w:val="24"/>
        </w:rPr>
        <w:t xml:space="preserve"> provide data detailed in Appendix </w:t>
      </w:r>
      <w:r w:rsidR="001E09C9" w:rsidRPr="00DE3BF9">
        <w:rPr>
          <w:rFonts w:asciiTheme="minorHAnsi" w:hAnsiTheme="minorHAnsi" w:cstheme="minorHAnsi"/>
          <w:sz w:val="24"/>
          <w:szCs w:val="24"/>
        </w:rPr>
        <w:t>1</w:t>
      </w:r>
      <w:r w:rsidRPr="00DE3BF9">
        <w:rPr>
          <w:rFonts w:asciiTheme="minorHAnsi" w:hAnsiTheme="minorHAnsi" w:cstheme="minorHAnsi"/>
          <w:sz w:val="24"/>
          <w:szCs w:val="24"/>
        </w:rPr>
        <w:t xml:space="preserve"> to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Pr="00DE3BF9">
        <w:rPr>
          <w:rFonts w:asciiTheme="minorHAnsi" w:hAnsiTheme="minorHAnsi" w:cstheme="minorHAnsi"/>
          <w:sz w:val="24"/>
          <w:szCs w:val="24"/>
        </w:rPr>
        <w:t xml:space="preserve"> for use in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  <w:r w:rsidRPr="00DE3BF9">
        <w:rPr>
          <w:rFonts w:asciiTheme="minorHAnsi" w:hAnsiTheme="minorHAnsi" w:cstheme="minorHAnsi"/>
          <w:sz w:val="24"/>
          <w:szCs w:val="24"/>
        </w:rPr>
        <w:t xml:space="preserve"> as soon as practicable after the signing of this Memorandum of Understanding by the appropriate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Pr="00DE3BF9">
        <w:rPr>
          <w:rFonts w:asciiTheme="minorHAnsi" w:hAnsiTheme="minorHAnsi" w:cstheme="minorHAnsi"/>
          <w:sz w:val="24"/>
          <w:szCs w:val="24"/>
        </w:rPr>
        <w:t xml:space="preserve"> and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Pr="00DE3BF9">
        <w:rPr>
          <w:rFonts w:asciiTheme="minorHAnsi" w:hAnsiTheme="minorHAnsi" w:cstheme="minorHAnsi"/>
          <w:sz w:val="24"/>
          <w:szCs w:val="24"/>
        </w:rPr>
        <w:t xml:space="preserve"> authorities.</w:t>
      </w:r>
    </w:p>
    <w:p w14:paraId="5DCAD587" w14:textId="77777777" w:rsidR="00A16EE0" w:rsidRDefault="00A16EE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50AF9399" w14:textId="5CD7CC70" w:rsidR="00102CD7" w:rsidRPr="00DE3BF9" w:rsidRDefault="00102CD7" w:rsidP="009839F6">
      <w:pPr>
        <w:pStyle w:val="Header"/>
        <w:tabs>
          <w:tab w:val="clear" w:pos="4153"/>
          <w:tab w:val="clear" w:pos="8306"/>
          <w:tab w:val="left" w:pos="2205"/>
        </w:tabs>
        <w:rPr>
          <w:rFonts w:asciiTheme="minorHAnsi" w:hAnsiTheme="minorHAnsi" w:cstheme="minorHAnsi"/>
          <w:b/>
          <w:szCs w:val="24"/>
        </w:rPr>
      </w:pPr>
      <w:r w:rsidRPr="00DE3BF9">
        <w:rPr>
          <w:rFonts w:asciiTheme="minorHAnsi" w:hAnsiTheme="minorHAnsi" w:cstheme="minorHAnsi"/>
          <w:b/>
          <w:szCs w:val="24"/>
        </w:rPr>
        <w:lastRenderedPageBreak/>
        <w:t xml:space="preserve">The </w:t>
      </w:r>
      <w:r w:rsidR="004D7296" w:rsidRPr="00DE3BF9">
        <w:rPr>
          <w:rFonts w:asciiTheme="minorHAnsi" w:hAnsiTheme="minorHAnsi" w:cstheme="minorHAnsi"/>
          <w:szCs w:val="24"/>
          <w:highlight w:val="yellow"/>
        </w:rPr>
        <w:t>[</w:t>
      </w:r>
      <w:r w:rsidR="004D7296" w:rsidRPr="00DE3BF9">
        <w:rPr>
          <w:rFonts w:asciiTheme="minorHAnsi" w:hAnsiTheme="minorHAnsi" w:cstheme="minorHAnsi"/>
          <w:b/>
          <w:bCs/>
          <w:szCs w:val="24"/>
          <w:highlight w:val="yellow"/>
        </w:rPr>
        <w:t>agency receiving data</w:t>
      </w:r>
      <w:r w:rsidR="004D7296" w:rsidRPr="00DE3BF9">
        <w:rPr>
          <w:rFonts w:asciiTheme="minorHAnsi" w:hAnsiTheme="minorHAnsi" w:cstheme="minorHAnsi"/>
          <w:szCs w:val="24"/>
          <w:highlight w:val="yellow"/>
        </w:rPr>
        <w:t>]</w:t>
      </w:r>
      <w:r w:rsidRPr="00DE3BF9">
        <w:rPr>
          <w:rFonts w:asciiTheme="minorHAnsi" w:hAnsiTheme="minorHAnsi" w:cstheme="minorHAnsi"/>
          <w:b/>
          <w:szCs w:val="24"/>
        </w:rPr>
        <w:t>:</w:t>
      </w:r>
    </w:p>
    <w:p w14:paraId="7ABE4831" w14:textId="77777777" w:rsidR="00102CD7" w:rsidRPr="00DE3BF9" w:rsidRDefault="00102CD7">
      <w:pPr>
        <w:rPr>
          <w:rFonts w:asciiTheme="minorHAnsi" w:hAnsiTheme="minorHAnsi" w:cstheme="minorHAnsi"/>
          <w:b/>
          <w:sz w:val="24"/>
          <w:szCs w:val="24"/>
        </w:rPr>
      </w:pPr>
    </w:p>
    <w:p w14:paraId="70E48A6A" w14:textId="77777777" w:rsidR="00102CD7" w:rsidRPr="00DE3BF9" w:rsidRDefault="00102CD7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will not</w:t>
      </w:r>
      <w:r w:rsidRPr="00DE3BF9">
        <w:rPr>
          <w:rFonts w:asciiTheme="minorHAnsi" w:hAnsiTheme="minorHAnsi" w:cstheme="minorHAnsi"/>
          <w:sz w:val="24"/>
          <w:szCs w:val="24"/>
        </w:rPr>
        <w:t xml:space="preserve"> publish any reports in relation to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  <w:r w:rsidRPr="00DE3BF9">
        <w:rPr>
          <w:rFonts w:asciiTheme="minorHAnsi" w:hAnsiTheme="minorHAnsi" w:cstheme="minorHAnsi"/>
          <w:sz w:val="24"/>
          <w:szCs w:val="24"/>
        </w:rPr>
        <w:t xml:space="preserve"> where data 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relating to </w:t>
      </w:r>
      <w:r w:rsidR="00E30FC0" w:rsidRPr="00DE3BF9">
        <w:rPr>
          <w:rFonts w:asciiTheme="minorHAnsi" w:hAnsiTheme="minorHAnsi" w:cstheme="minorHAnsi"/>
          <w:sz w:val="24"/>
          <w:szCs w:val="24"/>
        </w:rPr>
        <w:t>GBV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 incidents </w:t>
      </w:r>
      <w:r w:rsidR="004D7296" w:rsidRPr="00DE3BF9">
        <w:rPr>
          <w:rFonts w:asciiTheme="minorHAnsi" w:hAnsiTheme="minorHAnsi" w:cstheme="minorHAnsi"/>
          <w:sz w:val="24"/>
          <w:szCs w:val="24"/>
        </w:rPr>
        <w:t>recorded by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 has been detailed or referred to until an authorised representative of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 has provided permission for this data to be referred to in such reports</w:t>
      </w:r>
      <w:r w:rsidRPr="00DE3BF9">
        <w:rPr>
          <w:rFonts w:asciiTheme="minorHAnsi" w:hAnsiTheme="minorHAnsi" w:cstheme="minorHAnsi"/>
          <w:sz w:val="24"/>
          <w:szCs w:val="24"/>
        </w:rPr>
        <w:t>.</w:t>
      </w:r>
    </w:p>
    <w:p w14:paraId="0A9F0636" w14:textId="77777777" w:rsidR="00577D7E" w:rsidRPr="00DE3BF9" w:rsidRDefault="00102CD7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will</w:t>
      </w:r>
      <w:r w:rsidRPr="00DE3BF9">
        <w:rPr>
          <w:rFonts w:asciiTheme="minorHAnsi" w:hAnsiTheme="minorHAnsi" w:cstheme="minorHAnsi"/>
          <w:sz w:val="24"/>
          <w:szCs w:val="24"/>
        </w:rPr>
        <w:t xml:space="preserve"> provide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Pr="00DE3BF9">
        <w:rPr>
          <w:rFonts w:asciiTheme="minorHAnsi" w:hAnsiTheme="minorHAnsi" w:cstheme="minorHAnsi"/>
          <w:sz w:val="24"/>
          <w:szCs w:val="24"/>
        </w:rPr>
        <w:t xml:space="preserve"> with copies of all reports published by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="00675361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Pr="00DE3BF9">
        <w:rPr>
          <w:rFonts w:asciiTheme="minorHAnsi" w:hAnsiTheme="minorHAnsi" w:cstheme="minorHAnsi"/>
          <w:sz w:val="24"/>
          <w:szCs w:val="24"/>
        </w:rPr>
        <w:t xml:space="preserve">in relation to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  <w:r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in which data relating to </w:t>
      </w:r>
      <w:r w:rsidR="00E30FC0" w:rsidRPr="00DE3BF9">
        <w:rPr>
          <w:rFonts w:asciiTheme="minorHAnsi" w:hAnsiTheme="minorHAnsi" w:cstheme="minorHAnsi"/>
          <w:sz w:val="24"/>
          <w:szCs w:val="24"/>
        </w:rPr>
        <w:t>GBV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 incidents </w:t>
      </w:r>
      <w:r w:rsidR="004D7296" w:rsidRPr="00DE3BF9">
        <w:rPr>
          <w:rFonts w:asciiTheme="minorHAnsi" w:hAnsiTheme="minorHAnsi" w:cstheme="minorHAnsi"/>
          <w:sz w:val="24"/>
          <w:szCs w:val="24"/>
        </w:rPr>
        <w:t>recorded by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 has been detailed or referred to</w:t>
      </w:r>
      <w:r w:rsidR="00577D7E" w:rsidRPr="00DE3BF9">
        <w:rPr>
          <w:rFonts w:asciiTheme="minorHAnsi" w:hAnsiTheme="minorHAnsi" w:cstheme="minorHAnsi"/>
          <w:b/>
          <w:sz w:val="24"/>
          <w:szCs w:val="24"/>
        </w:rPr>
        <w:t>.</w:t>
      </w:r>
    </w:p>
    <w:p w14:paraId="11BE0948" w14:textId="77777777" w:rsidR="00102CD7" w:rsidRPr="00DE3BF9" w:rsidRDefault="00102CD7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will</w:t>
      </w:r>
      <w:r w:rsidRPr="00DE3BF9">
        <w:rPr>
          <w:rFonts w:asciiTheme="minorHAnsi" w:hAnsiTheme="minorHAnsi" w:cstheme="minorHAnsi"/>
          <w:sz w:val="24"/>
          <w:szCs w:val="24"/>
        </w:rPr>
        <w:t xml:space="preserve"> provide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Pr="00DE3BF9">
        <w:rPr>
          <w:rFonts w:asciiTheme="minorHAnsi" w:hAnsiTheme="minorHAnsi" w:cstheme="minorHAnsi"/>
          <w:sz w:val="24"/>
          <w:szCs w:val="24"/>
        </w:rPr>
        <w:t xml:space="preserve">with a list of all people and agencies that will directly receive a copy of any </w:t>
      </w:r>
      <w:r w:rsidR="000341A2" w:rsidRPr="00DE3BF9">
        <w:rPr>
          <w:rFonts w:asciiTheme="minorHAnsi" w:hAnsiTheme="minorHAnsi" w:cstheme="minorHAnsi"/>
          <w:i/>
          <w:sz w:val="24"/>
          <w:szCs w:val="24"/>
        </w:rPr>
        <w:t>special data request</w:t>
      </w:r>
      <w:r w:rsidR="000341A2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Pr="00DE3BF9">
        <w:rPr>
          <w:rFonts w:asciiTheme="minorHAnsi" w:hAnsiTheme="minorHAnsi" w:cstheme="minorHAnsi"/>
          <w:sz w:val="24"/>
          <w:szCs w:val="24"/>
        </w:rPr>
        <w:t xml:space="preserve">produced by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="00675361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Pr="00DE3BF9">
        <w:rPr>
          <w:rFonts w:asciiTheme="minorHAnsi" w:hAnsiTheme="minorHAnsi" w:cstheme="minorHAnsi"/>
          <w:sz w:val="24"/>
          <w:szCs w:val="24"/>
        </w:rPr>
        <w:t xml:space="preserve">in relation to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</w:p>
    <w:p w14:paraId="4276C375" w14:textId="77777777" w:rsidR="005C5CCA" w:rsidRPr="00DE3BF9" w:rsidRDefault="00102CD7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will not</w:t>
      </w:r>
      <w:r w:rsidRPr="00DE3BF9">
        <w:rPr>
          <w:rFonts w:asciiTheme="minorHAnsi" w:hAnsiTheme="minorHAnsi" w:cstheme="minorHAnsi"/>
          <w:sz w:val="24"/>
          <w:szCs w:val="24"/>
        </w:rPr>
        <w:t xml:space="preserve"> provide data </w:t>
      </w:r>
      <w:r w:rsidR="005C5CCA" w:rsidRPr="00DE3BF9">
        <w:rPr>
          <w:rFonts w:asciiTheme="minorHAnsi" w:hAnsiTheme="minorHAnsi" w:cstheme="minorHAnsi"/>
          <w:sz w:val="24"/>
          <w:szCs w:val="24"/>
        </w:rPr>
        <w:t xml:space="preserve">relating to </w:t>
      </w:r>
      <w:r w:rsidR="00E30FC0" w:rsidRPr="00DE3BF9">
        <w:rPr>
          <w:rFonts w:asciiTheme="minorHAnsi" w:hAnsiTheme="minorHAnsi" w:cstheme="minorHAnsi"/>
          <w:sz w:val="24"/>
          <w:szCs w:val="24"/>
        </w:rPr>
        <w:t xml:space="preserve">GBV 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incidents </w:t>
      </w:r>
      <w:r w:rsidR="004D7296" w:rsidRPr="00DE3BF9">
        <w:rPr>
          <w:rFonts w:asciiTheme="minorHAnsi" w:hAnsiTheme="minorHAnsi" w:cstheme="minorHAnsi"/>
          <w:sz w:val="24"/>
          <w:szCs w:val="24"/>
        </w:rPr>
        <w:t>recorded by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577D7E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Pr="00DE3BF9">
        <w:rPr>
          <w:rFonts w:asciiTheme="minorHAnsi" w:hAnsiTheme="minorHAnsi" w:cstheme="minorHAnsi"/>
          <w:sz w:val="24"/>
          <w:szCs w:val="24"/>
        </w:rPr>
        <w:t xml:space="preserve">to any person not directly involved in the analysis of data </w:t>
      </w:r>
      <w:r w:rsidR="005C5CCA" w:rsidRPr="00DE3BF9">
        <w:rPr>
          <w:rFonts w:asciiTheme="minorHAnsi" w:hAnsiTheme="minorHAnsi" w:cstheme="minorHAnsi"/>
          <w:sz w:val="24"/>
          <w:szCs w:val="24"/>
        </w:rPr>
        <w:t xml:space="preserve">or in database </w:t>
      </w:r>
      <w:r w:rsidR="00E30FC0" w:rsidRPr="00DE3BF9">
        <w:rPr>
          <w:rFonts w:asciiTheme="minorHAnsi" w:hAnsiTheme="minorHAnsi" w:cstheme="minorHAnsi"/>
          <w:sz w:val="24"/>
          <w:szCs w:val="24"/>
        </w:rPr>
        <w:t>management other</w:t>
      </w:r>
      <w:r w:rsidR="005C5CCA" w:rsidRPr="00DE3BF9">
        <w:rPr>
          <w:rFonts w:asciiTheme="minorHAnsi" w:hAnsiTheme="minorHAnsi" w:cstheme="minorHAnsi"/>
          <w:sz w:val="24"/>
          <w:szCs w:val="24"/>
        </w:rPr>
        <w:t xml:space="preserve"> than data contained in reports that have been </w:t>
      </w:r>
      <w:r w:rsidRPr="00DE3BF9">
        <w:rPr>
          <w:rFonts w:asciiTheme="minorHAnsi" w:hAnsiTheme="minorHAnsi" w:cstheme="minorHAnsi"/>
          <w:sz w:val="24"/>
          <w:szCs w:val="24"/>
        </w:rPr>
        <w:t xml:space="preserve">published by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="00675361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Pr="00DE3BF9">
        <w:rPr>
          <w:rFonts w:asciiTheme="minorHAnsi" w:hAnsiTheme="minorHAnsi" w:cstheme="minorHAnsi"/>
          <w:sz w:val="24"/>
          <w:szCs w:val="24"/>
        </w:rPr>
        <w:t xml:space="preserve">as part of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  <w:r w:rsidR="005C5CCA" w:rsidRPr="00DE3BF9">
        <w:rPr>
          <w:rFonts w:asciiTheme="minorHAnsi" w:hAnsiTheme="minorHAnsi" w:cstheme="minorHAnsi"/>
          <w:sz w:val="24"/>
          <w:szCs w:val="24"/>
        </w:rPr>
        <w:t xml:space="preserve">  Personnel involved in database maintenance will be required to sign a non-disclosure agreement</w:t>
      </w:r>
      <w:r w:rsidR="005C5CCA" w:rsidRPr="00DE3BF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353119" w14:textId="77777777" w:rsidR="00102CD7" w:rsidRPr="00DE3BF9" w:rsidRDefault="00102CD7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will not</w:t>
      </w:r>
      <w:r w:rsidRPr="00DE3BF9">
        <w:rPr>
          <w:rFonts w:asciiTheme="minorHAnsi" w:hAnsiTheme="minorHAnsi" w:cstheme="minorHAnsi"/>
          <w:sz w:val="24"/>
          <w:szCs w:val="24"/>
        </w:rPr>
        <w:t xml:space="preserve"> provide any other agency contributing to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  <w:r w:rsidR="00E30FC0" w:rsidRPr="00DE3BF9">
        <w:rPr>
          <w:rFonts w:asciiTheme="minorHAnsi" w:hAnsiTheme="minorHAnsi" w:cstheme="minorHAnsi"/>
          <w:sz w:val="24"/>
          <w:szCs w:val="24"/>
        </w:rPr>
        <w:t xml:space="preserve"> with</w:t>
      </w:r>
      <w:r w:rsidRPr="00DE3BF9">
        <w:rPr>
          <w:rFonts w:asciiTheme="minorHAnsi" w:hAnsiTheme="minorHAnsi" w:cstheme="minorHAnsi"/>
          <w:sz w:val="24"/>
          <w:szCs w:val="24"/>
        </w:rPr>
        <w:t xml:space="preserve"> access to raw data </w:t>
      </w:r>
      <w:r w:rsidR="005C5CCA" w:rsidRPr="00DE3BF9">
        <w:rPr>
          <w:rFonts w:asciiTheme="minorHAnsi" w:hAnsiTheme="minorHAnsi" w:cstheme="minorHAnsi"/>
          <w:sz w:val="24"/>
          <w:szCs w:val="24"/>
        </w:rPr>
        <w:t xml:space="preserve">relating to </w:t>
      </w:r>
      <w:r w:rsidR="00E30FC0" w:rsidRPr="00DE3BF9">
        <w:rPr>
          <w:rFonts w:asciiTheme="minorHAnsi" w:hAnsiTheme="minorHAnsi" w:cstheme="minorHAnsi"/>
          <w:sz w:val="24"/>
          <w:szCs w:val="24"/>
        </w:rPr>
        <w:t>GBV</w:t>
      </w:r>
      <w:r w:rsidR="005C5CCA" w:rsidRPr="00DE3BF9">
        <w:rPr>
          <w:rFonts w:asciiTheme="minorHAnsi" w:hAnsiTheme="minorHAnsi" w:cstheme="minorHAnsi"/>
          <w:sz w:val="24"/>
          <w:szCs w:val="24"/>
        </w:rPr>
        <w:t xml:space="preserve"> incidents </w:t>
      </w:r>
      <w:r w:rsidR="004D7296" w:rsidRPr="00DE3BF9">
        <w:rPr>
          <w:rFonts w:asciiTheme="minorHAnsi" w:hAnsiTheme="minorHAnsi" w:cstheme="minorHAnsi"/>
          <w:sz w:val="24"/>
          <w:szCs w:val="24"/>
        </w:rPr>
        <w:t>recorded by</w:t>
      </w:r>
      <w:r w:rsidR="005C5CCA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5C5CCA" w:rsidRPr="00DE3BF9">
        <w:rPr>
          <w:rFonts w:asciiTheme="minorHAnsi" w:hAnsiTheme="minorHAnsi" w:cstheme="minorHAnsi"/>
          <w:sz w:val="24"/>
          <w:szCs w:val="24"/>
        </w:rPr>
        <w:t>,</w:t>
      </w:r>
      <w:r w:rsidRPr="00DE3BF9">
        <w:rPr>
          <w:rFonts w:asciiTheme="minorHAnsi" w:hAnsiTheme="minorHAnsi" w:cstheme="minorHAnsi"/>
          <w:sz w:val="24"/>
          <w:szCs w:val="24"/>
        </w:rPr>
        <w:t xml:space="preserve"> or a summary of such data, other than that data contained in reports that have been published by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Pr="00DE3BF9">
        <w:rPr>
          <w:rFonts w:asciiTheme="minorHAnsi" w:hAnsiTheme="minorHAnsi" w:cstheme="minorHAnsi"/>
          <w:sz w:val="24"/>
          <w:szCs w:val="24"/>
        </w:rPr>
        <w:t xml:space="preserve"> in relation to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</w:p>
    <w:p w14:paraId="50A984DE" w14:textId="77777777" w:rsidR="00102CD7" w:rsidRPr="00DE3BF9" w:rsidRDefault="00102CD7">
      <w:pPr>
        <w:numPr>
          <w:ilvl w:val="0"/>
          <w:numId w:val="1"/>
        </w:numPr>
        <w:spacing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DE3BF9">
        <w:rPr>
          <w:rFonts w:asciiTheme="minorHAnsi" w:hAnsiTheme="minorHAnsi" w:cstheme="minorHAnsi"/>
          <w:b/>
          <w:sz w:val="24"/>
          <w:szCs w:val="24"/>
        </w:rPr>
        <w:t>will</w:t>
      </w:r>
      <w:r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refer all requests for raw and summary data relating to incidents attended by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to an authorised representative of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, unless it is contained in reports that have been published by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="00675361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Pr="00DE3BF9">
        <w:rPr>
          <w:rFonts w:asciiTheme="minorHAnsi" w:hAnsiTheme="minorHAnsi" w:cstheme="minorHAnsi"/>
          <w:sz w:val="24"/>
          <w:szCs w:val="24"/>
        </w:rPr>
        <w:t xml:space="preserve">in relation to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</w:p>
    <w:p w14:paraId="125B0AFF" w14:textId="77777777" w:rsidR="00102CD7" w:rsidRPr="00DE3BF9" w:rsidRDefault="00102CD7">
      <w:pPr>
        <w:numPr>
          <w:ilvl w:val="0"/>
          <w:numId w:val="1"/>
        </w:numPr>
        <w:spacing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DE3BF9">
        <w:rPr>
          <w:rFonts w:asciiTheme="minorHAnsi" w:hAnsiTheme="minorHAnsi" w:cstheme="minorHAnsi"/>
          <w:b/>
          <w:color w:val="000000"/>
          <w:sz w:val="24"/>
          <w:szCs w:val="24"/>
        </w:rPr>
        <w:t>will</w:t>
      </w:r>
      <w:r w:rsidRPr="00DE3BF9">
        <w:rPr>
          <w:rFonts w:asciiTheme="minorHAnsi" w:hAnsiTheme="minorHAnsi" w:cstheme="minorHAnsi"/>
          <w:color w:val="000000"/>
          <w:sz w:val="24"/>
          <w:szCs w:val="24"/>
        </w:rPr>
        <w:t xml:space="preserve"> liaise directly with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regarding any issues that arise in relation to data relating to </w:t>
      </w:r>
      <w:r w:rsidR="00E30FC0" w:rsidRPr="00DE3BF9">
        <w:rPr>
          <w:rFonts w:asciiTheme="minorHAnsi" w:hAnsiTheme="minorHAnsi" w:cstheme="minorHAnsi"/>
          <w:sz w:val="24"/>
          <w:szCs w:val="24"/>
        </w:rPr>
        <w:t>GBV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incidents </w:t>
      </w:r>
      <w:r w:rsidR="004D7296" w:rsidRPr="00DE3BF9">
        <w:rPr>
          <w:rFonts w:asciiTheme="minorHAnsi" w:hAnsiTheme="minorHAnsi" w:cstheme="minorHAnsi"/>
          <w:sz w:val="24"/>
          <w:szCs w:val="24"/>
        </w:rPr>
        <w:t>recorded by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Pr="00DE3BF9">
        <w:rPr>
          <w:rFonts w:asciiTheme="minorHAnsi" w:hAnsiTheme="minorHAnsi" w:cstheme="minorHAnsi"/>
          <w:sz w:val="24"/>
          <w:szCs w:val="24"/>
        </w:rPr>
        <w:t xml:space="preserve">, and the provision of such data to the </w:t>
      </w:r>
      <w:r w:rsidR="004D7296" w:rsidRPr="00DE3BF9">
        <w:rPr>
          <w:rFonts w:asciiTheme="minorHAnsi" w:hAnsiTheme="minorHAnsi" w:cstheme="minorHAnsi"/>
          <w:sz w:val="24"/>
          <w:szCs w:val="24"/>
          <w:highlight w:val="yellow"/>
        </w:rPr>
        <w:t>[agency receiving data]</w:t>
      </w:r>
      <w:r w:rsidRPr="00DE3BF9">
        <w:rPr>
          <w:rFonts w:asciiTheme="minorHAnsi" w:hAnsiTheme="minorHAnsi" w:cstheme="minorHAnsi"/>
          <w:sz w:val="24"/>
          <w:szCs w:val="24"/>
        </w:rPr>
        <w:t>.</w:t>
      </w:r>
    </w:p>
    <w:p w14:paraId="49C1A404" w14:textId="77777777" w:rsidR="00102CD7" w:rsidRPr="00DE3BF9" w:rsidRDefault="00102CD7">
      <w:pPr>
        <w:numPr>
          <w:ilvl w:val="0"/>
          <w:numId w:val="1"/>
        </w:numPr>
        <w:spacing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DE3BF9">
        <w:rPr>
          <w:rFonts w:asciiTheme="minorHAnsi" w:hAnsiTheme="minorHAnsi" w:cstheme="minorHAnsi"/>
          <w:b/>
          <w:color w:val="000000"/>
          <w:sz w:val="24"/>
          <w:szCs w:val="24"/>
        </w:rPr>
        <w:t>will</w:t>
      </w:r>
      <w:r w:rsidRPr="00DE3BF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E3BF9">
        <w:rPr>
          <w:rFonts w:asciiTheme="minorHAnsi" w:hAnsiTheme="minorHAnsi" w:cstheme="minorHAnsi"/>
          <w:b/>
          <w:color w:val="000000"/>
          <w:sz w:val="24"/>
          <w:szCs w:val="24"/>
        </w:rPr>
        <w:t>not</w:t>
      </w:r>
      <w:r w:rsidRPr="00DE3BF9">
        <w:rPr>
          <w:rFonts w:asciiTheme="minorHAnsi" w:hAnsiTheme="minorHAnsi" w:cstheme="minorHAnsi"/>
          <w:color w:val="000000"/>
          <w:sz w:val="24"/>
          <w:szCs w:val="24"/>
        </w:rPr>
        <w:t xml:space="preserve"> become the owner of the data 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relating to </w:t>
      </w:r>
      <w:r w:rsidR="00E30FC0" w:rsidRPr="00DE3BF9">
        <w:rPr>
          <w:rFonts w:asciiTheme="minorHAnsi" w:hAnsiTheme="minorHAnsi" w:cstheme="minorHAnsi"/>
          <w:sz w:val="24"/>
          <w:szCs w:val="24"/>
        </w:rPr>
        <w:t>GBV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incidents </w:t>
      </w:r>
      <w:r w:rsidR="004D7296" w:rsidRPr="00DE3BF9">
        <w:rPr>
          <w:rFonts w:asciiTheme="minorHAnsi" w:hAnsiTheme="minorHAnsi" w:cstheme="minorHAnsi"/>
          <w:sz w:val="24"/>
          <w:szCs w:val="24"/>
        </w:rPr>
        <w:t>recorded by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B79BD" w:rsidRPr="00DE3BF9">
        <w:rPr>
          <w:rFonts w:asciiTheme="minorHAnsi" w:hAnsiTheme="minorHAnsi" w:cstheme="minorHAnsi"/>
          <w:sz w:val="24"/>
          <w:szCs w:val="24"/>
        </w:rPr>
        <w:t>as a result of</w:t>
      </w:r>
      <w:proofErr w:type="gramEnd"/>
      <w:r w:rsidR="00FB79BD" w:rsidRPr="00DE3BF9">
        <w:rPr>
          <w:rFonts w:asciiTheme="minorHAnsi" w:hAnsiTheme="minorHAnsi" w:cstheme="minorHAnsi"/>
          <w:sz w:val="24"/>
          <w:szCs w:val="24"/>
        </w:rPr>
        <w:t xml:space="preserve"> the data being provided for </w:t>
      </w:r>
      <w:r w:rsidRPr="00DE3BF9">
        <w:rPr>
          <w:rFonts w:asciiTheme="minorHAnsi" w:hAnsiTheme="minorHAnsi" w:cstheme="minorHAnsi"/>
          <w:sz w:val="24"/>
          <w:szCs w:val="24"/>
        </w:rPr>
        <w:t xml:space="preserve">in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  <w:r w:rsidRPr="00DE3BF9">
        <w:rPr>
          <w:rFonts w:asciiTheme="minorHAnsi" w:hAnsiTheme="minorHAnsi" w:cstheme="minorHAnsi"/>
          <w:sz w:val="24"/>
          <w:szCs w:val="24"/>
        </w:rPr>
        <w:t xml:space="preserve"> 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will remain the sole </w:t>
      </w:r>
      <w:r w:rsidRPr="00DE3BF9">
        <w:rPr>
          <w:rFonts w:asciiTheme="minorHAnsi" w:hAnsiTheme="minorHAnsi" w:cstheme="minorHAnsi"/>
          <w:sz w:val="24"/>
          <w:szCs w:val="24"/>
        </w:rPr>
        <w:t xml:space="preserve">owner of the data provided for inclusion in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</w:p>
    <w:p w14:paraId="24BDFCF4" w14:textId="77777777" w:rsidR="00102CD7" w:rsidRPr="00DE3BF9" w:rsidRDefault="00102CD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3BF9">
        <w:rPr>
          <w:rFonts w:asciiTheme="minorHAnsi" w:hAnsiTheme="minorHAnsi" w:cstheme="minorHAnsi"/>
          <w:b/>
          <w:color w:val="000000"/>
          <w:sz w:val="24"/>
          <w:szCs w:val="24"/>
        </w:rPr>
        <w:t>will</w:t>
      </w:r>
      <w:r w:rsidRPr="00DE3BF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79BD" w:rsidRPr="00DE3BF9">
        <w:rPr>
          <w:rFonts w:asciiTheme="minorHAnsi" w:hAnsiTheme="minorHAnsi" w:cstheme="minorHAnsi"/>
          <w:color w:val="000000"/>
          <w:sz w:val="24"/>
          <w:szCs w:val="24"/>
        </w:rPr>
        <w:t xml:space="preserve">comply with the </w:t>
      </w:r>
      <w:r w:rsidR="00FB79BD" w:rsidRPr="00DE3BF9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Information Privacy Principles</w:t>
      </w:r>
      <w:r w:rsidR="00FB79BD" w:rsidRPr="00DE3BF9">
        <w:rPr>
          <w:rFonts w:asciiTheme="minorHAnsi" w:hAnsiTheme="minorHAnsi" w:cstheme="minorHAnsi"/>
          <w:color w:val="000000"/>
          <w:sz w:val="24"/>
          <w:szCs w:val="24"/>
        </w:rPr>
        <w:t xml:space="preserve"> under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[insert reference to any relevant privacy act]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FB79BD" w:rsidRPr="00DE3BF9">
        <w:rPr>
          <w:rFonts w:asciiTheme="minorHAnsi" w:hAnsiTheme="minorHAnsi" w:cstheme="minorHAnsi"/>
          <w:color w:val="000000"/>
          <w:sz w:val="24"/>
          <w:szCs w:val="24"/>
        </w:rPr>
        <w:t xml:space="preserve">in relation to 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data relating to </w:t>
      </w:r>
      <w:r w:rsidR="00E30FC0" w:rsidRPr="00DE3BF9">
        <w:rPr>
          <w:rFonts w:asciiTheme="minorHAnsi" w:hAnsiTheme="minorHAnsi" w:cstheme="minorHAnsi"/>
          <w:sz w:val="24"/>
          <w:szCs w:val="24"/>
        </w:rPr>
        <w:t>GBV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incidents </w:t>
      </w:r>
      <w:r w:rsidR="004D7296" w:rsidRPr="00DE3BF9">
        <w:rPr>
          <w:rFonts w:asciiTheme="minorHAnsi" w:hAnsiTheme="minorHAnsi" w:cstheme="minorHAnsi"/>
          <w:sz w:val="24"/>
          <w:szCs w:val="24"/>
        </w:rPr>
        <w:t>recorded by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8B3725" w:rsidRPr="00DE3BF9">
        <w:rPr>
          <w:rFonts w:asciiTheme="minorHAnsi" w:hAnsiTheme="minorHAnsi" w:cstheme="minorHAnsi"/>
          <w:sz w:val="24"/>
          <w:szCs w:val="24"/>
          <w:highlight w:val="yellow"/>
        </w:rPr>
        <w:t>[agency providing data]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 </w:t>
      </w:r>
      <w:r w:rsidR="00FB79BD" w:rsidRPr="00DE3BF9">
        <w:rPr>
          <w:rFonts w:asciiTheme="minorHAnsi" w:hAnsiTheme="minorHAnsi" w:cstheme="minorHAnsi"/>
          <w:color w:val="000000"/>
          <w:sz w:val="24"/>
          <w:szCs w:val="24"/>
        </w:rPr>
        <w:t xml:space="preserve">that has been provided for use </w:t>
      </w:r>
      <w:r w:rsidR="00FB79BD" w:rsidRPr="00DE3BF9">
        <w:rPr>
          <w:rFonts w:asciiTheme="minorHAnsi" w:hAnsiTheme="minorHAnsi" w:cstheme="minorHAnsi"/>
          <w:sz w:val="24"/>
          <w:szCs w:val="24"/>
        </w:rPr>
        <w:t xml:space="preserve">in the </w:t>
      </w:r>
      <w:r w:rsidR="004D7296" w:rsidRPr="00DE3BF9">
        <w:rPr>
          <w:rFonts w:asciiTheme="minorHAnsi" w:hAnsiTheme="minorHAnsi" w:cstheme="minorHAnsi"/>
          <w:i/>
          <w:sz w:val="24"/>
          <w:szCs w:val="24"/>
          <w:highlight w:val="yellow"/>
        </w:rPr>
        <w:t>GBV administrative database.</w:t>
      </w:r>
    </w:p>
    <w:p w14:paraId="279DEBC4" w14:textId="77777777" w:rsidR="00102CD7" w:rsidRPr="00DE3BF9" w:rsidRDefault="00102CD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06A90D9" w14:textId="77777777" w:rsidR="00102CD7" w:rsidRPr="00DE3BF9" w:rsidRDefault="00102CD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b/>
          <w:szCs w:val="24"/>
        </w:rPr>
        <w:t>will not</w:t>
      </w:r>
      <w:r w:rsidRPr="00DE3BF9">
        <w:rPr>
          <w:rFonts w:asciiTheme="minorHAnsi" w:hAnsiTheme="minorHAnsi" w:cstheme="minorHAnsi"/>
          <w:szCs w:val="24"/>
        </w:rPr>
        <w:t xml:space="preserve"> seek access to the </w:t>
      </w:r>
      <w:r w:rsidR="00FB79BD" w:rsidRPr="00DE3BF9">
        <w:rPr>
          <w:rFonts w:asciiTheme="minorHAnsi" w:hAnsiTheme="minorHAnsi" w:cstheme="minorHAnsi"/>
          <w:szCs w:val="24"/>
        </w:rPr>
        <w:t xml:space="preserve">data </w:t>
      </w:r>
      <w:r w:rsidRPr="00DE3BF9">
        <w:rPr>
          <w:rFonts w:asciiTheme="minorHAnsi" w:hAnsiTheme="minorHAnsi" w:cstheme="minorHAnsi"/>
          <w:szCs w:val="24"/>
        </w:rPr>
        <w:t xml:space="preserve">management system </w:t>
      </w:r>
      <w:r w:rsidR="00FB79BD" w:rsidRPr="00DE3BF9">
        <w:rPr>
          <w:rFonts w:asciiTheme="minorHAnsi" w:hAnsiTheme="minorHAnsi" w:cstheme="minorHAnsi"/>
          <w:szCs w:val="24"/>
        </w:rPr>
        <w:t xml:space="preserve">of </w:t>
      </w:r>
      <w:r w:rsidR="008B3725" w:rsidRPr="00DE3BF9">
        <w:rPr>
          <w:rFonts w:asciiTheme="minorHAnsi" w:hAnsiTheme="minorHAnsi" w:cstheme="minorHAnsi"/>
          <w:szCs w:val="24"/>
          <w:highlight w:val="yellow"/>
        </w:rPr>
        <w:t>[agency providing data</w:t>
      </w:r>
      <w:r w:rsidR="004D7296" w:rsidRPr="00DE3BF9">
        <w:rPr>
          <w:rFonts w:asciiTheme="minorHAnsi" w:hAnsiTheme="minorHAnsi" w:cstheme="minorHAnsi"/>
          <w:szCs w:val="24"/>
          <w:highlight w:val="yellow"/>
        </w:rPr>
        <w:t>]</w:t>
      </w:r>
      <w:r w:rsidR="004D7296" w:rsidRPr="00DE3BF9">
        <w:rPr>
          <w:rFonts w:asciiTheme="minorHAnsi" w:hAnsiTheme="minorHAnsi" w:cstheme="minorHAnsi"/>
          <w:szCs w:val="24"/>
        </w:rPr>
        <w:t xml:space="preserve"> or</w:t>
      </w:r>
      <w:r w:rsidR="00FB79BD" w:rsidRPr="00DE3BF9">
        <w:rPr>
          <w:rFonts w:asciiTheme="minorHAnsi" w:hAnsiTheme="minorHAnsi" w:cstheme="minorHAnsi"/>
          <w:szCs w:val="24"/>
        </w:rPr>
        <w:t xml:space="preserve"> </w:t>
      </w:r>
      <w:r w:rsidR="00D761C5" w:rsidRPr="00DE3BF9">
        <w:rPr>
          <w:rFonts w:asciiTheme="minorHAnsi" w:hAnsiTheme="minorHAnsi" w:cstheme="minorHAnsi"/>
          <w:szCs w:val="24"/>
        </w:rPr>
        <w:t xml:space="preserve">allow any agency or individual to access data provided by </w:t>
      </w:r>
      <w:r w:rsidR="008B3725" w:rsidRPr="00DE3BF9">
        <w:rPr>
          <w:rFonts w:asciiTheme="minorHAnsi" w:hAnsiTheme="minorHAnsi" w:cstheme="minorHAnsi"/>
          <w:szCs w:val="24"/>
          <w:highlight w:val="yellow"/>
        </w:rPr>
        <w:t>[agency providing data]</w:t>
      </w:r>
      <w:r w:rsidR="00E54CF9" w:rsidRPr="00DE3BF9">
        <w:rPr>
          <w:rFonts w:asciiTheme="minorHAnsi" w:hAnsiTheme="minorHAnsi" w:cstheme="minorHAnsi"/>
          <w:szCs w:val="24"/>
        </w:rPr>
        <w:t>,</w:t>
      </w:r>
      <w:r w:rsidR="00D761C5" w:rsidRPr="00DE3BF9">
        <w:rPr>
          <w:rFonts w:asciiTheme="minorHAnsi" w:hAnsiTheme="minorHAnsi" w:cstheme="minorHAnsi"/>
          <w:szCs w:val="24"/>
        </w:rPr>
        <w:t xml:space="preserve"> </w:t>
      </w:r>
      <w:r w:rsidR="00E54CF9" w:rsidRPr="00DE3BF9">
        <w:rPr>
          <w:rFonts w:asciiTheme="minorHAnsi" w:hAnsiTheme="minorHAnsi" w:cstheme="minorHAnsi"/>
          <w:szCs w:val="24"/>
        </w:rPr>
        <w:t xml:space="preserve">for use in the </w:t>
      </w:r>
      <w:r w:rsidR="004D7296" w:rsidRPr="00DE3BF9">
        <w:rPr>
          <w:rFonts w:asciiTheme="minorHAnsi" w:hAnsiTheme="minorHAnsi" w:cstheme="minorHAnsi"/>
          <w:i/>
          <w:szCs w:val="24"/>
          <w:highlight w:val="yellow"/>
        </w:rPr>
        <w:t>GBV administrative database.</w:t>
      </w:r>
      <w:r w:rsidR="00E54CF9" w:rsidRPr="00DE3BF9">
        <w:rPr>
          <w:rFonts w:asciiTheme="minorHAnsi" w:hAnsiTheme="minorHAnsi" w:cstheme="minorHAnsi"/>
          <w:szCs w:val="24"/>
        </w:rPr>
        <w:t xml:space="preserve"> apart from authorised staff from the </w:t>
      </w:r>
      <w:r w:rsidR="00D761C5" w:rsidRPr="00DE3BF9">
        <w:rPr>
          <w:rFonts w:asciiTheme="minorHAnsi" w:hAnsiTheme="minorHAnsi" w:cstheme="minorHAnsi"/>
          <w:szCs w:val="24"/>
        </w:rPr>
        <w:t xml:space="preserve">to </w:t>
      </w:r>
      <w:r w:rsidR="00097C38" w:rsidRPr="00DE3BF9">
        <w:rPr>
          <w:rFonts w:asciiTheme="minorHAnsi" w:hAnsiTheme="minorHAnsi" w:cstheme="minorHAnsi"/>
          <w:szCs w:val="24"/>
        </w:rPr>
        <w:t xml:space="preserve">the </w:t>
      </w:r>
      <w:r w:rsidR="004D7296" w:rsidRPr="00DE3BF9">
        <w:rPr>
          <w:rFonts w:asciiTheme="minorHAnsi" w:hAnsiTheme="minorHAnsi" w:cstheme="minorHAnsi"/>
          <w:szCs w:val="24"/>
          <w:highlight w:val="yellow"/>
        </w:rPr>
        <w:t>[agency receiving data]</w:t>
      </w:r>
      <w:r w:rsidRPr="00DE3BF9">
        <w:rPr>
          <w:rFonts w:asciiTheme="minorHAnsi" w:hAnsiTheme="minorHAnsi" w:cstheme="minorHAnsi"/>
          <w:szCs w:val="24"/>
        </w:rPr>
        <w:t>.</w:t>
      </w:r>
    </w:p>
    <w:p w14:paraId="4343BC15" w14:textId="77777777" w:rsidR="00FE7F29" w:rsidRPr="00DE3BF9" w:rsidRDefault="00FE7F29" w:rsidP="00FE7F2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18935729" w14:textId="77777777" w:rsidR="00FE7F29" w:rsidRPr="00DE3BF9" w:rsidRDefault="00C91556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b/>
          <w:szCs w:val="24"/>
        </w:rPr>
        <w:t>w</w:t>
      </w:r>
      <w:r w:rsidR="00FE7F29" w:rsidRPr="00DE3BF9">
        <w:rPr>
          <w:rFonts w:asciiTheme="minorHAnsi" w:hAnsiTheme="minorHAnsi" w:cstheme="minorHAnsi"/>
          <w:b/>
          <w:szCs w:val="24"/>
        </w:rPr>
        <w:t xml:space="preserve">ill </w:t>
      </w:r>
      <w:r w:rsidR="00FE7F29" w:rsidRPr="00DE3BF9">
        <w:rPr>
          <w:rFonts w:asciiTheme="minorHAnsi" w:hAnsiTheme="minorHAnsi" w:cstheme="minorHAnsi"/>
          <w:szCs w:val="24"/>
        </w:rPr>
        <w:t xml:space="preserve">ensure that appropriate security policy is put in place and that all security measures stipulated within that policy are dutifully maintained </w:t>
      </w:r>
      <w:proofErr w:type="gramStart"/>
      <w:r w:rsidR="00FE7F29" w:rsidRPr="00DE3BF9">
        <w:rPr>
          <w:rFonts w:asciiTheme="minorHAnsi" w:hAnsiTheme="minorHAnsi" w:cstheme="minorHAnsi"/>
          <w:szCs w:val="24"/>
        </w:rPr>
        <w:t>in order to</w:t>
      </w:r>
      <w:proofErr w:type="gramEnd"/>
      <w:r w:rsidR="00FE7F29" w:rsidRPr="00DE3BF9">
        <w:rPr>
          <w:rFonts w:asciiTheme="minorHAnsi" w:hAnsiTheme="minorHAnsi" w:cstheme="minorHAnsi"/>
          <w:szCs w:val="24"/>
        </w:rPr>
        <w:t xml:space="preserve"> protect the data relating to </w:t>
      </w:r>
      <w:r w:rsidR="00E30FC0" w:rsidRPr="00DE3BF9">
        <w:rPr>
          <w:rFonts w:asciiTheme="minorHAnsi" w:hAnsiTheme="minorHAnsi" w:cstheme="minorHAnsi"/>
          <w:szCs w:val="24"/>
        </w:rPr>
        <w:t>GBV</w:t>
      </w:r>
      <w:r w:rsidR="00FE7F29" w:rsidRPr="00DE3BF9">
        <w:rPr>
          <w:rFonts w:asciiTheme="minorHAnsi" w:hAnsiTheme="minorHAnsi" w:cstheme="minorHAnsi"/>
          <w:szCs w:val="24"/>
        </w:rPr>
        <w:t xml:space="preserve"> incidents </w:t>
      </w:r>
      <w:r w:rsidR="004D7296" w:rsidRPr="00DE3BF9">
        <w:rPr>
          <w:rFonts w:asciiTheme="minorHAnsi" w:hAnsiTheme="minorHAnsi" w:cstheme="minorHAnsi"/>
          <w:szCs w:val="24"/>
        </w:rPr>
        <w:t>recorded by</w:t>
      </w:r>
      <w:r w:rsidR="00FE7F29" w:rsidRPr="00DE3BF9">
        <w:rPr>
          <w:rFonts w:asciiTheme="minorHAnsi" w:hAnsiTheme="minorHAnsi" w:cstheme="minorHAnsi"/>
          <w:szCs w:val="24"/>
        </w:rPr>
        <w:t xml:space="preserve"> </w:t>
      </w:r>
      <w:r w:rsidR="008B3725" w:rsidRPr="00DE3BF9">
        <w:rPr>
          <w:rFonts w:asciiTheme="minorHAnsi" w:hAnsiTheme="minorHAnsi" w:cstheme="minorHAnsi"/>
          <w:szCs w:val="24"/>
          <w:highlight w:val="yellow"/>
        </w:rPr>
        <w:t>[agency providing data]</w:t>
      </w:r>
      <w:r w:rsidR="00FE7F29" w:rsidRPr="00DE3BF9">
        <w:rPr>
          <w:rFonts w:asciiTheme="minorHAnsi" w:hAnsiTheme="minorHAnsi" w:cstheme="minorHAnsi"/>
          <w:szCs w:val="24"/>
        </w:rPr>
        <w:t>.</w:t>
      </w:r>
    </w:p>
    <w:p w14:paraId="02ACB6BF" w14:textId="77777777" w:rsidR="00A16EE0" w:rsidRDefault="00A16EE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3A6C5493" w14:textId="3972C2EC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  <w:r w:rsidRPr="00DE3BF9">
        <w:rPr>
          <w:rFonts w:asciiTheme="minorHAnsi" w:hAnsiTheme="minorHAnsi" w:cstheme="minorHAnsi"/>
          <w:b/>
          <w:szCs w:val="24"/>
        </w:rPr>
        <w:lastRenderedPageBreak/>
        <w:t>COMMENCEMENT DATE</w:t>
      </w:r>
    </w:p>
    <w:p w14:paraId="68F5713A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2B05B881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szCs w:val="24"/>
        </w:rPr>
        <w:t>This Memorandum of Understanding will commence upon the date when both parties have signed this document.</w:t>
      </w:r>
    </w:p>
    <w:p w14:paraId="1583FF10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03DCC642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47AE835B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0CF20870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  <w:r w:rsidRPr="00DE3BF9">
        <w:rPr>
          <w:rFonts w:asciiTheme="minorHAnsi" w:hAnsiTheme="minorHAnsi" w:cstheme="minorHAnsi"/>
          <w:b/>
          <w:szCs w:val="24"/>
        </w:rPr>
        <w:t>REVIEW DATE</w:t>
      </w:r>
    </w:p>
    <w:p w14:paraId="3C3A6404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271BB131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szCs w:val="24"/>
        </w:rPr>
        <w:t>The continuation of this Memorandum of U</w:t>
      </w:r>
      <w:r w:rsidR="00A83D3F" w:rsidRPr="00DE3BF9">
        <w:rPr>
          <w:rFonts w:asciiTheme="minorHAnsi" w:hAnsiTheme="minorHAnsi" w:cstheme="minorHAnsi"/>
          <w:szCs w:val="24"/>
        </w:rPr>
        <w:t xml:space="preserve">nderstanding will be reviewed </w:t>
      </w:r>
      <w:r w:rsidR="00A83D3F" w:rsidRPr="00DE3BF9">
        <w:rPr>
          <w:rFonts w:asciiTheme="minorHAnsi" w:hAnsiTheme="minorHAnsi" w:cstheme="minorHAnsi"/>
          <w:szCs w:val="24"/>
          <w:highlight w:val="yellow"/>
        </w:rPr>
        <w:t>18</w:t>
      </w:r>
      <w:r w:rsidRPr="00DE3BF9">
        <w:rPr>
          <w:rFonts w:asciiTheme="minorHAnsi" w:hAnsiTheme="minorHAnsi" w:cstheme="minorHAnsi"/>
          <w:szCs w:val="24"/>
        </w:rPr>
        <w:t xml:space="preserve"> months from the date when both parties have signed this document.</w:t>
      </w:r>
    </w:p>
    <w:p w14:paraId="6C696011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21976004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474B4C66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2EBEC1D1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  <w:r w:rsidRPr="00DE3BF9">
        <w:rPr>
          <w:rFonts w:asciiTheme="minorHAnsi" w:hAnsiTheme="minorHAnsi" w:cstheme="minorHAnsi"/>
          <w:b/>
          <w:szCs w:val="24"/>
        </w:rPr>
        <w:t>SIGNED BY:</w:t>
      </w:r>
    </w:p>
    <w:p w14:paraId="671E43D1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0F1CA16A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586915FB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527D1A0B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245D0C5D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szCs w:val="24"/>
        </w:rPr>
        <w:t>________________________________________</w:t>
      </w:r>
      <w:r w:rsidRPr="00DE3BF9">
        <w:rPr>
          <w:rFonts w:asciiTheme="minorHAnsi" w:hAnsiTheme="minorHAnsi" w:cstheme="minorHAnsi"/>
          <w:szCs w:val="24"/>
        </w:rPr>
        <w:tab/>
      </w:r>
      <w:r w:rsidRPr="00DE3BF9">
        <w:rPr>
          <w:rFonts w:asciiTheme="minorHAnsi" w:hAnsiTheme="minorHAnsi" w:cstheme="minorHAnsi"/>
          <w:szCs w:val="24"/>
        </w:rPr>
        <w:tab/>
      </w:r>
      <w:r w:rsidRPr="00DE3BF9">
        <w:rPr>
          <w:rFonts w:asciiTheme="minorHAnsi" w:hAnsiTheme="minorHAnsi" w:cstheme="minorHAnsi"/>
          <w:szCs w:val="24"/>
        </w:rPr>
        <w:tab/>
        <w:t>____________________</w:t>
      </w:r>
    </w:p>
    <w:p w14:paraId="20B002A3" w14:textId="77777777" w:rsidR="00102CD7" w:rsidRPr="00DE3BF9" w:rsidRDefault="00097C3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b/>
          <w:szCs w:val="24"/>
        </w:rPr>
        <w:t>[Name]</w:t>
      </w:r>
      <w:r w:rsidR="00102CD7" w:rsidRPr="00DE3BF9">
        <w:rPr>
          <w:rFonts w:asciiTheme="minorHAnsi" w:hAnsiTheme="minorHAnsi" w:cstheme="minorHAnsi"/>
          <w:b/>
          <w:szCs w:val="24"/>
        </w:rPr>
        <w:tab/>
      </w:r>
      <w:r w:rsidR="00102CD7" w:rsidRPr="00DE3BF9">
        <w:rPr>
          <w:rFonts w:asciiTheme="minorHAnsi" w:hAnsiTheme="minorHAnsi" w:cstheme="minorHAnsi"/>
          <w:szCs w:val="24"/>
        </w:rPr>
        <w:tab/>
      </w:r>
      <w:r w:rsidR="00102CD7" w:rsidRPr="00DE3BF9">
        <w:rPr>
          <w:rFonts w:asciiTheme="minorHAnsi" w:hAnsiTheme="minorHAnsi" w:cstheme="minorHAnsi"/>
          <w:szCs w:val="24"/>
        </w:rPr>
        <w:tab/>
      </w:r>
      <w:r w:rsidR="00E54CF9" w:rsidRPr="00DE3BF9">
        <w:rPr>
          <w:rFonts w:asciiTheme="minorHAnsi" w:hAnsiTheme="minorHAnsi" w:cstheme="minorHAnsi"/>
          <w:szCs w:val="24"/>
        </w:rPr>
        <w:tab/>
      </w:r>
      <w:r w:rsidR="00102CD7" w:rsidRPr="00DE3BF9">
        <w:rPr>
          <w:rFonts w:asciiTheme="minorHAnsi" w:hAnsiTheme="minorHAnsi" w:cstheme="minorHAnsi"/>
          <w:szCs w:val="24"/>
        </w:rPr>
        <w:tab/>
      </w:r>
      <w:r w:rsidR="00102CD7" w:rsidRPr="00DE3BF9">
        <w:rPr>
          <w:rFonts w:asciiTheme="minorHAnsi" w:hAnsiTheme="minorHAnsi" w:cstheme="minorHAnsi"/>
          <w:szCs w:val="24"/>
        </w:rPr>
        <w:tab/>
      </w:r>
      <w:r w:rsidR="00102CD7" w:rsidRPr="00DE3BF9">
        <w:rPr>
          <w:rFonts w:asciiTheme="minorHAnsi" w:hAnsiTheme="minorHAnsi" w:cstheme="minorHAnsi"/>
          <w:szCs w:val="24"/>
        </w:rPr>
        <w:tab/>
      </w:r>
      <w:r w:rsidR="00102CD7" w:rsidRPr="00DE3BF9">
        <w:rPr>
          <w:rFonts w:asciiTheme="minorHAnsi" w:hAnsiTheme="minorHAnsi" w:cstheme="minorHAnsi"/>
          <w:szCs w:val="24"/>
        </w:rPr>
        <w:tab/>
        <w:t>Dated</w:t>
      </w:r>
    </w:p>
    <w:p w14:paraId="1B61D932" w14:textId="77777777" w:rsidR="00102CD7" w:rsidRPr="00DE3BF9" w:rsidRDefault="004D729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szCs w:val="24"/>
        </w:rPr>
        <w:t>[</w:t>
      </w:r>
      <w:r w:rsidRPr="00DE3BF9">
        <w:rPr>
          <w:rFonts w:asciiTheme="minorHAnsi" w:hAnsiTheme="minorHAnsi" w:cstheme="minorHAnsi"/>
          <w:szCs w:val="24"/>
          <w:highlight w:val="yellow"/>
        </w:rPr>
        <w:t>Title</w:t>
      </w:r>
      <w:r w:rsidRPr="00DE3BF9">
        <w:rPr>
          <w:rFonts w:asciiTheme="minorHAnsi" w:hAnsiTheme="minorHAnsi" w:cstheme="minorHAnsi"/>
          <w:szCs w:val="24"/>
        </w:rPr>
        <w:t xml:space="preserve">] </w:t>
      </w:r>
    </w:p>
    <w:p w14:paraId="13D60C90" w14:textId="77777777" w:rsidR="00102CD7" w:rsidRPr="00DE3BF9" w:rsidRDefault="008B3725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szCs w:val="24"/>
          <w:highlight w:val="yellow"/>
        </w:rPr>
        <w:t>[agency providing data]</w:t>
      </w:r>
    </w:p>
    <w:p w14:paraId="15ACA909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1BDD8501" w14:textId="77777777" w:rsidR="00102CD7" w:rsidRPr="00DE3BF9" w:rsidRDefault="00102CD7" w:rsidP="00362A0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1C443CD3" w14:textId="77777777" w:rsidR="00102CD7" w:rsidRPr="00DE3BF9" w:rsidRDefault="00102CD7" w:rsidP="00362A0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00DE2CBE" w14:textId="77777777" w:rsidR="00102CD7" w:rsidRPr="00DE3BF9" w:rsidRDefault="00102CD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szCs w:val="24"/>
        </w:rPr>
        <w:t>________________________________________</w:t>
      </w:r>
      <w:r w:rsidRPr="00DE3BF9">
        <w:rPr>
          <w:rFonts w:asciiTheme="minorHAnsi" w:hAnsiTheme="minorHAnsi" w:cstheme="minorHAnsi"/>
          <w:szCs w:val="24"/>
        </w:rPr>
        <w:tab/>
      </w:r>
      <w:r w:rsidRPr="00DE3BF9">
        <w:rPr>
          <w:rFonts w:asciiTheme="minorHAnsi" w:hAnsiTheme="minorHAnsi" w:cstheme="minorHAnsi"/>
          <w:szCs w:val="24"/>
        </w:rPr>
        <w:tab/>
      </w:r>
      <w:r w:rsidRPr="00DE3BF9">
        <w:rPr>
          <w:rFonts w:asciiTheme="minorHAnsi" w:hAnsiTheme="minorHAnsi" w:cstheme="minorHAnsi"/>
          <w:szCs w:val="24"/>
        </w:rPr>
        <w:tab/>
        <w:t>____________________</w:t>
      </w:r>
    </w:p>
    <w:p w14:paraId="66673071" w14:textId="77777777" w:rsidR="00102CD7" w:rsidRPr="00DE3BF9" w:rsidRDefault="00097C3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b/>
          <w:szCs w:val="24"/>
        </w:rPr>
        <w:t>[Name]</w:t>
      </w:r>
      <w:r w:rsidR="006A4FE7" w:rsidRPr="00DE3BF9">
        <w:rPr>
          <w:rFonts w:asciiTheme="minorHAnsi" w:hAnsiTheme="minorHAnsi" w:cstheme="minorHAnsi"/>
          <w:b/>
          <w:szCs w:val="24"/>
        </w:rPr>
        <w:tab/>
      </w:r>
      <w:r w:rsidR="006A4FE7" w:rsidRPr="00DE3BF9">
        <w:rPr>
          <w:rFonts w:asciiTheme="minorHAnsi" w:hAnsiTheme="minorHAnsi" w:cstheme="minorHAnsi"/>
          <w:b/>
          <w:szCs w:val="24"/>
        </w:rPr>
        <w:tab/>
      </w:r>
      <w:r w:rsidR="00102CD7" w:rsidRPr="00DE3BF9">
        <w:rPr>
          <w:rFonts w:asciiTheme="minorHAnsi" w:hAnsiTheme="minorHAnsi" w:cstheme="minorHAnsi"/>
          <w:b/>
          <w:szCs w:val="24"/>
        </w:rPr>
        <w:tab/>
      </w:r>
      <w:r w:rsidR="00102CD7" w:rsidRPr="00DE3BF9">
        <w:rPr>
          <w:rFonts w:asciiTheme="minorHAnsi" w:hAnsiTheme="minorHAnsi" w:cstheme="minorHAnsi"/>
          <w:szCs w:val="24"/>
        </w:rPr>
        <w:tab/>
      </w:r>
      <w:r w:rsidR="00102CD7" w:rsidRPr="00DE3BF9">
        <w:rPr>
          <w:rFonts w:asciiTheme="minorHAnsi" w:hAnsiTheme="minorHAnsi" w:cstheme="minorHAnsi"/>
          <w:szCs w:val="24"/>
        </w:rPr>
        <w:tab/>
      </w:r>
      <w:r w:rsidR="00102CD7" w:rsidRPr="00DE3BF9">
        <w:rPr>
          <w:rFonts w:asciiTheme="minorHAnsi" w:hAnsiTheme="minorHAnsi" w:cstheme="minorHAnsi"/>
          <w:szCs w:val="24"/>
        </w:rPr>
        <w:tab/>
      </w:r>
      <w:r w:rsidR="0041471F" w:rsidRPr="00DE3BF9">
        <w:rPr>
          <w:rFonts w:asciiTheme="minorHAnsi" w:hAnsiTheme="minorHAnsi" w:cstheme="minorHAnsi"/>
          <w:szCs w:val="24"/>
        </w:rPr>
        <w:tab/>
      </w:r>
      <w:r w:rsidR="00102CD7" w:rsidRPr="00DE3BF9">
        <w:rPr>
          <w:rFonts w:asciiTheme="minorHAnsi" w:hAnsiTheme="minorHAnsi" w:cstheme="minorHAnsi"/>
          <w:szCs w:val="24"/>
        </w:rPr>
        <w:tab/>
        <w:t>Dated</w:t>
      </w:r>
    </w:p>
    <w:p w14:paraId="1FBA3A77" w14:textId="77777777" w:rsidR="004D7296" w:rsidRPr="00DE3BF9" w:rsidRDefault="004D7296" w:rsidP="004D729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szCs w:val="24"/>
        </w:rPr>
        <w:t>[</w:t>
      </w:r>
      <w:r w:rsidRPr="00DE3BF9">
        <w:rPr>
          <w:rFonts w:asciiTheme="minorHAnsi" w:hAnsiTheme="minorHAnsi" w:cstheme="minorHAnsi"/>
          <w:szCs w:val="24"/>
          <w:highlight w:val="yellow"/>
        </w:rPr>
        <w:t>Title</w:t>
      </w:r>
      <w:r w:rsidRPr="00DE3BF9">
        <w:rPr>
          <w:rFonts w:asciiTheme="minorHAnsi" w:hAnsiTheme="minorHAnsi" w:cstheme="minorHAnsi"/>
          <w:szCs w:val="24"/>
        </w:rPr>
        <w:t xml:space="preserve">] </w:t>
      </w:r>
    </w:p>
    <w:p w14:paraId="4661BD40" w14:textId="77777777" w:rsidR="004D7296" w:rsidRPr="00DE3BF9" w:rsidRDefault="004D7296" w:rsidP="004D729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  <w:r w:rsidRPr="00DE3BF9">
        <w:rPr>
          <w:rFonts w:asciiTheme="minorHAnsi" w:hAnsiTheme="minorHAnsi" w:cstheme="minorHAnsi"/>
          <w:szCs w:val="24"/>
          <w:highlight w:val="yellow"/>
        </w:rPr>
        <w:t>[agency receiving data]</w:t>
      </w:r>
    </w:p>
    <w:p w14:paraId="2EA607CF" w14:textId="77777777" w:rsidR="00102CD7" w:rsidRPr="00DE3BF9" w:rsidRDefault="00102CD7" w:rsidP="00362A0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32865595" w14:textId="77777777" w:rsidR="00102CD7" w:rsidRPr="00DE3BF9" w:rsidRDefault="00102CD7" w:rsidP="00362A0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668E169C" w14:textId="77777777" w:rsidR="00102CD7" w:rsidRPr="00DE3BF9" w:rsidRDefault="00102CD7" w:rsidP="00362A0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74064492" w14:textId="77777777" w:rsidR="00102CD7" w:rsidRPr="00DE3BF9" w:rsidRDefault="00102CD7" w:rsidP="00362A0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14:paraId="2F819671" w14:textId="77777777" w:rsidR="00FE7F29" w:rsidRPr="00DE3BF9" w:rsidRDefault="00E54CF9" w:rsidP="00FE7F29">
      <w:pPr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568AE" w14:paraId="4C20AF20" w14:textId="77777777" w:rsidTr="009568AE">
        <w:tc>
          <w:tcPr>
            <w:tcW w:w="9736" w:type="dxa"/>
            <w:shd w:val="clear" w:color="auto" w:fill="FBE4D5" w:themeFill="accent2" w:themeFillTint="33"/>
          </w:tcPr>
          <w:p w14:paraId="69B47CB2" w14:textId="2F657A52" w:rsidR="009568AE" w:rsidRPr="009568AE" w:rsidRDefault="009568AE" w:rsidP="009568A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568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NOTE:</w:t>
            </w:r>
            <w:r w:rsidRPr="009568AE">
              <w:rPr>
                <w:rFonts w:asciiTheme="minorHAnsi" w:hAnsiTheme="minorHAnsi" w:cstheme="minorHAnsi"/>
                <w:sz w:val="24"/>
                <w:szCs w:val="24"/>
              </w:rPr>
              <w:t xml:space="preserve"> This example is based on data collected by the police. Data items should be changed to match the data available from the agency providing data.</w:t>
            </w: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42335AB" w14:textId="77777777" w:rsidR="009568AE" w:rsidRDefault="009568AE" w:rsidP="008B3725">
      <w:pPr>
        <w:rPr>
          <w:rFonts w:asciiTheme="minorHAnsi" w:hAnsiTheme="minorHAnsi" w:cstheme="minorHAnsi"/>
          <w:sz w:val="24"/>
          <w:szCs w:val="24"/>
        </w:rPr>
      </w:pPr>
    </w:p>
    <w:p w14:paraId="42DBFD1C" w14:textId="0DBF6F73" w:rsidR="009568AE" w:rsidRPr="009568AE" w:rsidRDefault="009568AE" w:rsidP="009568AE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568AE">
        <w:rPr>
          <w:rFonts w:asciiTheme="minorHAnsi" w:hAnsiTheme="minorHAnsi" w:cstheme="minorHAnsi"/>
          <w:b/>
          <w:bCs/>
          <w:i/>
          <w:iCs/>
          <w:sz w:val="24"/>
          <w:szCs w:val="24"/>
        </w:rPr>
        <w:t>APPENDIX 1</w:t>
      </w:r>
    </w:p>
    <w:p w14:paraId="0D7302F3" w14:textId="77777777" w:rsidR="001E09C9" w:rsidRPr="00DE3BF9" w:rsidRDefault="001E09C9" w:rsidP="001E09C9">
      <w:pPr>
        <w:pStyle w:val="BodyText2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E3BF9">
        <w:rPr>
          <w:rFonts w:asciiTheme="minorHAnsi" w:hAnsiTheme="minorHAnsi" w:cstheme="minorHAnsi"/>
          <w:b/>
          <w:color w:val="auto"/>
          <w:szCs w:val="24"/>
        </w:rPr>
        <w:t xml:space="preserve">Data extract approved for release to the </w:t>
      </w:r>
    </w:p>
    <w:p w14:paraId="22CB8E4D" w14:textId="77777777" w:rsidR="009568AE" w:rsidRDefault="009568AE" w:rsidP="001E09C9">
      <w:pPr>
        <w:pStyle w:val="BodyText2"/>
        <w:jc w:val="center"/>
        <w:rPr>
          <w:rFonts w:asciiTheme="minorHAnsi" w:hAnsiTheme="minorHAnsi" w:cstheme="minorHAnsi"/>
          <w:b/>
          <w:color w:val="auto"/>
          <w:szCs w:val="24"/>
          <w:highlight w:val="yellow"/>
        </w:rPr>
      </w:pPr>
    </w:p>
    <w:p w14:paraId="1044DE6D" w14:textId="0C89F012" w:rsidR="001E09C9" w:rsidRDefault="004D7296" w:rsidP="001E09C9">
      <w:pPr>
        <w:pStyle w:val="BodyText2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E3BF9">
        <w:rPr>
          <w:rFonts w:asciiTheme="minorHAnsi" w:hAnsiTheme="minorHAnsi" w:cstheme="minorHAnsi"/>
          <w:b/>
          <w:color w:val="auto"/>
          <w:szCs w:val="24"/>
          <w:highlight w:val="yellow"/>
        </w:rPr>
        <w:t>[agency receiving data]</w:t>
      </w:r>
    </w:p>
    <w:p w14:paraId="1815AF47" w14:textId="77777777" w:rsidR="009568AE" w:rsidRPr="00DE3BF9" w:rsidRDefault="009568AE" w:rsidP="001E09C9">
      <w:pPr>
        <w:pStyle w:val="BodyText2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3D15AD47" w14:textId="72B71146" w:rsidR="001E09C9" w:rsidRPr="00DE3BF9" w:rsidRDefault="001E09C9" w:rsidP="001E09C9">
      <w:pPr>
        <w:pStyle w:val="BodyText2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DE3BF9">
        <w:rPr>
          <w:rFonts w:asciiTheme="minorHAnsi" w:hAnsiTheme="minorHAnsi" w:cstheme="minorHAnsi"/>
          <w:b/>
          <w:bCs/>
          <w:color w:val="auto"/>
          <w:szCs w:val="24"/>
        </w:rPr>
        <w:t xml:space="preserve">Data fields taken from the </w:t>
      </w:r>
      <w:r w:rsidR="009568AE">
        <w:rPr>
          <w:rFonts w:asciiTheme="minorHAnsi" w:hAnsiTheme="minorHAnsi" w:cstheme="minorHAnsi"/>
          <w:b/>
          <w:bCs/>
          <w:color w:val="auto"/>
          <w:szCs w:val="24"/>
        </w:rPr>
        <w:t>[</w:t>
      </w:r>
      <w:r w:rsidR="00E30FC0" w:rsidRPr="00DE3BF9">
        <w:rPr>
          <w:rFonts w:asciiTheme="minorHAnsi" w:hAnsiTheme="minorHAnsi" w:cstheme="minorHAnsi"/>
          <w:b/>
          <w:bCs/>
          <w:color w:val="auto"/>
          <w:szCs w:val="24"/>
          <w:highlight w:val="yellow"/>
        </w:rPr>
        <w:t>GBV</w:t>
      </w:r>
      <w:r w:rsidRPr="00DE3BF9">
        <w:rPr>
          <w:rFonts w:asciiTheme="minorHAnsi" w:hAnsiTheme="minorHAnsi" w:cstheme="minorHAnsi"/>
          <w:b/>
          <w:bCs/>
          <w:color w:val="auto"/>
          <w:szCs w:val="24"/>
          <w:highlight w:val="yellow"/>
        </w:rPr>
        <w:t xml:space="preserve"> Report</w:t>
      </w:r>
      <w:r w:rsidR="009568AE">
        <w:rPr>
          <w:rFonts w:asciiTheme="minorHAnsi" w:hAnsiTheme="minorHAnsi" w:cstheme="minorHAnsi"/>
          <w:b/>
          <w:bCs/>
          <w:color w:val="auto"/>
          <w:szCs w:val="24"/>
        </w:rPr>
        <w:t>]</w:t>
      </w:r>
    </w:p>
    <w:p w14:paraId="03A540AF" w14:textId="77777777" w:rsidR="001E09C9" w:rsidRPr="00DE3BF9" w:rsidRDefault="001E09C9" w:rsidP="001E09C9">
      <w:pPr>
        <w:pStyle w:val="BodyText3"/>
        <w:ind w:left="-426" w:right="-567"/>
        <w:rPr>
          <w:rFonts w:asciiTheme="minorHAnsi" w:hAnsiTheme="minorHAnsi" w:cstheme="minorHAnsi"/>
          <w:sz w:val="24"/>
          <w:szCs w:val="24"/>
        </w:rPr>
      </w:pPr>
    </w:p>
    <w:p w14:paraId="75AF1C6A" w14:textId="77777777" w:rsidR="00740DB2" w:rsidRPr="00DE3BF9" w:rsidRDefault="00740DB2" w:rsidP="00740DB2">
      <w:pPr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sz w:val="24"/>
          <w:szCs w:val="24"/>
        </w:rPr>
        <w:t xml:space="preserve">Table 1 contains the details of data fields currently requested.  </w:t>
      </w:r>
    </w:p>
    <w:p w14:paraId="4D44B15A" w14:textId="6A7A4E35" w:rsidR="00740DB2" w:rsidRPr="00DE3BF9" w:rsidRDefault="001E09C9" w:rsidP="00A16EE0">
      <w:pPr>
        <w:pStyle w:val="Heading6"/>
        <w:rPr>
          <w:rFonts w:asciiTheme="minorHAnsi" w:hAnsiTheme="minorHAnsi" w:cstheme="minorHAnsi"/>
          <w:sz w:val="24"/>
          <w:szCs w:val="24"/>
        </w:rPr>
      </w:pPr>
      <w:r w:rsidRPr="00DE3BF9">
        <w:rPr>
          <w:rFonts w:asciiTheme="minorHAnsi" w:hAnsiTheme="minorHAnsi" w:cstheme="minorHAnsi"/>
          <w:sz w:val="24"/>
          <w:szCs w:val="24"/>
        </w:rPr>
        <w:t>Table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D7296" w:rsidRPr="00DE3BF9" w14:paraId="501D8D65" w14:textId="77777777" w:rsidTr="32AC6B8A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bottom"/>
          </w:tcPr>
          <w:p w14:paraId="5F54B7D7" w14:textId="77777777" w:rsidR="004D7296" w:rsidRPr="00DE3BF9" w:rsidRDefault="004D7296" w:rsidP="00F305B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Description</w:t>
            </w:r>
          </w:p>
        </w:tc>
      </w:tr>
      <w:tr w:rsidR="004D7296" w:rsidRPr="00DE3BF9" w14:paraId="064B5C3B" w14:textId="77777777" w:rsidTr="32AC6B8A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630D0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Report date</w:t>
            </w:r>
          </w:p>
        </w:tc>
      </w:tr>
      <w:tr w:rsidR="004D7296" w:rsidRPr="00DE3BF9" w14:paraId="5B2ECA7B" w14:textId="77777777" w:rsidTr="32AC6B8A">
        <w:tc>
          <w:tcPr>
            <w:tcW w:w="10031" w:type="dxa"/>
            <w:shd w:val="clear" w:color="auto" w:fill="auto"/>
          </w:tcPr>
          <w:p w14:paraId="141DED8C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Report time</w:t>
            </w:r>
          </w:p>
        </w:tc>
      </w:tr>
      <w:tr w:rsidR="004D7296" w:rsidRPr="00DE3BF9" w14:paraId="7570ECCD" w14:textId="77777777" w:rsidTr="32AC6B8A">
        <w:tc>
          <w:tcPr>
            <w:tcW w:w="10031" w:type="dxa"/>
            <w:shd w:val="clear" w:color="auto" w:fill="auto"/>
          </w:tcPr>
          <w:p w14:paraId="2D1ABA7C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Member station</w:t>
            </w:r>
          </w:p>
        </w:tc>
      </w:tr>
      <w:tr w:rsidR="004D7296" w:rsidRPr="00DE3BF9" w14:paraId="1FDBFB8F" w14:textId="77777777" w:rsidTr="32AC6B8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978CD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Committed time from </w:t>
            </w:r>
          </w:p>
        </w:tc>
      </w:tr>
      <w:tr w:rsidR="004D7296" w:rsidRPr="00DE3BF9" w14:paraId="3AFCB9EA" w14:textId="77777777" w:rsidTr="32AC6B8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4E616F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Committed date from</w:t>
            </w:r>
          </w:p>
        </w:tc>
      </w:tr>
      <w:tr w:rsidR="004D7296" w:rsidRPr="00DE3BF9" w14:paraId="020C13C3" w14:textId="77777777" w:rsidTr="32AC6B8A">
        <w:tc>
          <w:tcPr>
            <w:tcW w:w="10031" w:type="dxa"/>
            <w:shd w:val="clear" w:color="auto" w:fill="auto"/>
            <w:vAlign w:val="bottom"/>
          </w:tcPr>
          <w:p w14:paraId="0C7510A4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Notified time</w:t>
            </w:r>
          </w:p>
        </w:tc>
      </w:tr>
      <w:tr w:rsidR="004D7296" w:rsidRPr="00DE3BF9" w14:paraId="63AFC9AD" w14:textId="77777777" w:rsidTr="32AC6B8A">
        <w:tc>
          <w:tcPr>
            <w:tcW w:w="10031" w:type="dxa"/>
            <w:shd w:val="clear" w:color="auto" w:fill="auto"/>
            <w:vAlign w:val="bottom"/>
          </w:tcPr>
          <w:p w14:paraId="245ECB73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Notified date</w:t>
            </w:r>
          </w:p>
        </w:tc>
      </w:tr>
      <w:tr w:rsidR="004D7296" w:rsidRPr="00DE3BF9" w14:paraId="42073730" w14:textId="77777777" w:rsidTr="32AC6B8A">
        <w:tc>
          <w:tcPr>
            <w:tcW w:w="10031" w:type="dxa"/>
            <w:shd w:val="clear" w:color="auto" w:fill="auto"/>
          </w:tcPr>
          <w:p w14:paraId="69D8ECF4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Was offender charged</w:t>
            </w:r>
          </w:p>
        </w:tc>
      </w:tr>
      <w:tr w:rsidR="004D7296" w:rsidRPr="00DE3BF9" w14:paraId="20F5D011" w14:textId="77777777" w:rsidTr="32AC6B8A">
        <w:tc>
          <w:tcPr>
            <w:tcW w:w="10031" w:type="dxa"/>
            <w:shd w:val="clear" w:color="auto" w:fill="auto"/>
          </w:tcPr>
          <w:p w14:paraId="29DD1184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 xml:space="preserve">Offence charged with </w:t>
            </w:r>
            <w:proofErr w:type="gramStart"/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as a result of</w:t>
            </w:r>
            <w:proofErr w:type="gramEnd"/>
            <w:r w:rsidRPr="00DE3BF9">
              <w:rPr>
                <w:rFonts w:asciiTheme="minorHAnsi" w:hAnsiTheme="minorHAnsi" w:cstheme="minorHAnsi"/>
                <w:sz w:val="24"/>
                <w:szCs w:val="24"/>
              </w:rPr>
              <w:t xml:space="preserve"> incident</w:t>
            </w:r>
          </w:p>
        </w:tc>
      </w:tr>
      <w:tr w:rsidR="004D7296" w:rsidRPr="00DE3BF9" w14:paraId="43A1D167" w14:textId="77777777" w:rsidTr="32AC6B8A">
        <w:tc>
          <w:tcPr>
            <w:tcW w:w="10031" w:type="dxa"/>
            <w:shd w:val="clear" w:color="auto" w:fill="auto"/>
          </w:tcPr>
          <w:p w14:paraId="113BF139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Victim age</w:t>
            </w:r>
          </w:p>
        </w:tc>
      </w:tr>
      <w:tr w:rsidR="004D7296" w:rsidRPr="00DE3BF9" w14:paraId="26C41CB4" w14:textId="77777777" w:rsidTr="32AC6B8A">
        <w:tc>
          <w:tcPr>
            <w:tcW w:w="10031" w:type="dxa"/>
            <w:shd w:val="clear" w:color="auto" w:fill="auto"/>
            <w:vAlign w:val="bottom"/>
          </w:tcPr>
          <w:p w14:paraId="31EB3103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Victim gender</w:t>
            </w:r>
          </w:p>
        </w:tc>
      </w:tr>
      <w:tr w:rsidR="004D7296" w:rsidRPr="00DE3BF9" w14:paraId="7BB0ECB1" w14:textId="77777777" w:rsidTr="32AC6B8A">
        <w:tc>
          <w:tcPr>
            <w:tcW w:w="10031" w:type="dxa"/>
            <w:shd w:val="clear" w:color="auto" w:fill="auto"/>
            <w:vAlign w:val="bottom"/>
          </w:tcPr>
          <w:p w14:paraId="4C8DEC59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Victim ethnicity</w:t>
            </w:r>
          </w:p>
        </w:tc>
      </w:tr>
      <w:tr w:rsidR="004D7296" w:rsidRPr="00DE3BF9" w14:paraId="26DB5CBB" w14:textId="77777777" w:rsidTr="32AC6B8A">
        <w:tc>
          <w:tcPr>
            <w:tcW w:w="10031" w:type="dxa"/>
            <w:shd w:val="clear" w:color="auto" w:fill="auto"/>
            <w:vAlign w:val="bottom"/>
          </w:tcPr>
          <w:p w14:paraId="4D7544C0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Victim indigenous status</w:t>
            </w:r>
          </w:p>
        </w:tc>
      </w:tr>
      <w:tr w:rsidR="004D7296" w:rsidRPr="00DE3BF9" w14:paraId="22F72018" w14:textId="77777777" w:rsidTr="32AC6B8A">
        <w:tc>
          <w:tcPr>
            <w:tcW w:w="10031" w:type="dxa"/>
            <w:shd w:val="clear" w:color="auto" w:fill="auto"/>
            <w:vAlign w:val="bottom"/>
          </w:tcPr>
          <w:p w14:paraId="488149C0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Victim used interpreter</w:t>
            </w:r>
          </w:p>
        </w:tc>
      </w:tr>
      <w:tr w:rsidR="004D7296" w:rsidRPr="00DE3BF9" w14:paraId="270BF0FF" w14:textId="77777777" w:rsidTr="32AC6B8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7D970E49" w14:textId="58A53DD6" w:rsidR="004D7296" w:rsidRPr="00DE3BF9" w:rsidRDefault="004D7296" w:rsidP="32AC6B8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2AC6B8A">
              <w:rPr>
                <w:rFonts w:asciiTheme="minorHAnsi" w:hAnsiTheme="minorHAnsi" w:cstheme="minorBidi"/>
                <w:sz w:val="24"/>
                <w:szCs w:val="24"/>
              </w:rPr>
              <w:t>Postcode or location of where Victim resides</w:t>
            </w:r>
          </w:p>
        </w:tc>
      </w:tr>
      <w:tr w:rsidR="004D7296" w:rsidRPr="00DE3BF9" w14:paraId="148254B6" w14:textId="77777777" w:rsidTr="32AC6B8A">
        <w:tc>
          <w:tcPr>
            <w:tcW w:w="10031" w:type="dxa"/>
            <w:shd w:val="clear" w:color="auto" w:fill="auto"/>
            <w:vAlign w:val="bottom"/>
          </w:tcPr>
          <w:p w14:paraId="10291E76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Offender age</w:t>
            </w:r>
          </w:p>
        </w:tc>
      </w:tr>
      <w:tr w:rsidR="004D7296" w:rsidRPr="00DE3BF9" w14:paraId="649291ED" w14:textId="77777777" w:rsidTr="32AC6B8A">
        <w:tc>
          <w:tcPr>
            <w:tcW w:w="10031" w:type="dxa"/>
            <w:shd w:val="clear" w:color="auto" w:fill="auto"/>
            <w:vAlign w:val="bottom"/>
          </w:tcPr>
          <w:p w14:paraId="66F8744D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Offender gender</w:t>
            </w:r>
          </w:p>
        </w:tc>
      </w:tr>
      <w:tr w:rsidR="004D7296" w:rsidRPr="00DE3BF9" w14:paraId="0677966E" w14:textId="77777777" w:rsidTr="32AC6B8A">
        <w:tc>
          <w:tcPr>
            <w:tcW w:w="10031" w:type="dxa"/>
            <w:shd w:val="clear" w:color="auto" w:fill="auto"/>
            <w:vAlign w:val="bottom"/>
          </w:tcPr>
          <w:p w14:paraId="65F516C6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Offender ethnicity appearance</w:t>
            </w:r>
          </w:p>
        </w:tc>
      </w:tr>
      <w:tr w:rsidR="004D7296" w:rsidRPr="00DE3BF9" w14:paraId="116B7254" w14:textId="77777777" w:rsidTr="32AC6B8A">
        <w:tc>
          <w:tcPr>
            <w:tcW w:w="10031" w:type="dxa"/>
            <w:shd w:val="clear" w:color="auto" w:fill="auto"/>
            <w:vAlign w:val="bottom"/>
          </w:tcPr>
          <w:p w14:paraId="34D2AE0A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Offender indigenous status</w:t>
            </w:r>
          </w:p>
        </w:tc>
      </w:tr>
      <w:tr w:rsidR="004D7296" w:rsidRPr="00DE3BF9" w14:paraId="437CA069" w14:textId="77777777" w:rsidTr="32AC6B8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0DB8EF" w14:textId="77777777" w:rsidR="004D7296" w:rsidRPr="00DE3BF9" w:rsidRDefault="004D7296" w:rsidP="00F305B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Offender used interpreter</w:t>
            </w:r>
          </w:p>
        </w:tc>
      </w:tr>
      <w:tr w:rsidR="004D7296" w:rsidRPr="00DE3BF9" w14:paraId="1116DCF2" w14:textId="77777777" w:rsidTr="32AC6B8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1F22B217" w14:textId="310C9ACD" w:rsidR="004D7296" w:rsidRPr="00DE3BF9" w:rsidRDefault="004D7296" w:rsidP="32AC6B8A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2AC6B8A">
              <w:rPr>
                <w:rFonts w:asciiTheme="minorHAnsi" w:hAnsiTheme="minorHAnsi" w:cstheme="minorBidi"/>
                <w:sz w:val="24"/>
                <w:szCs w:val="24"/>
              </w:rPr>
              <w:t>Postcode or location of where offender resides</w:t>
            </w:r>
          </w:p>
        </w:tc>
      </w:tr>
      <w:tr w:rsidR="004D7296" w:rsidRPr="00DE3BF9" w14:paraId="333B5EFB" w14:textId="77777777" w:rsidTr="32AC6B8A">
        <w:tc>
          <w:tcPr>
            <w:tcW w:w="10031" w:type="dxa"/>
            <w:shd w:val="clear" w:color="auto" w:fill="auto"/>
          </w:tcPr>
          <w:p w14:paraId="3526F96B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Who first notified police</w:t>
            </w:r>
          </w:p>
        </w:tc>
      </w:tr>
      <w:tr w:rsidR="004D7296" w:rsidRPr="00DE3BF9" w14:paraId="26A5E82B" w14:textId="77777777" w:rsidTr="32AC6B8A">
        <w:tc>
          <w:tcPr>
            <w:tcW w:w="10031" w:type="dxa"/>
            <w:shd w:val="clear" w:color="auto" w:fill="auto"/>
          </w:tcPr>
          <w:p w14:paraId="07B78640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 xml:space="preserve">Relationship between AFM and </w:t>
            </w: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Offender</w:t>
            </w:r>
          </w:p>
        </w:tc>
      </w:tr>
      <w:tr w:rsidR="004D7296" w:rsidRPr="00DE3BF9" w14:paraId="38C2BF14" w14:textId="77777777" w:rsidTr="32AC6B8A">
        <w:tc>
          <w:tcPr>
            <w:tcW w:w="10031" w:type="dxa"/>
            <w:shd w:val="clear" w:color="auto" w:fill="auto"/>
          </w:tcPr>
          <w:p w14:paraId="45C885D3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Number of children present (by age group)</w:t>
            </w:r>
          </w:p>
        </w:tc>
      </w:tr>
      <w:tr w:rsidR="004D7296" w:rsidRPr="00DE3BF9" w14:paraId="204D4801" w14:textId="77777777" w:rsidTr="32AC6B8A">
        <w:tc>
          <w:tcPr>
            <w:tcW w:w="10031" w:type="dxa"/>
            <w:shd w:val="clear" w:color="auto" w:fill="auto"/>
          </w:tcPr>
          <w:p w14:paraId="22292A6C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How many previous police reports</w:t>
            </w:r>
          </w:p>
        </w:tc>
      </w:tr>
      <w:tr w:rsidR="004D7296" w:rsidRPr="00DE3BF9" w14:paraId="7BD79045" w14:textId="77777777" w:rsidTr="32AC6B8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4FD00EE0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Incident code classification</w:t>
            </w:r>
          </w:p>
        </w:tc>
      </w:tr>
      <w:tr w:rsidR="004D7296" w:rsidRPr="00DE3BF9" w14:paraId="3CC0C028" w14:textId="77777777" w:rsidTr="32AC6B8A">
        <w:tc>
          <w:tcPr>
            <w:tcW w:w="10031" w:type="dxa"/>
            <w:shd w:val="clear" w:color="auto" w:fill="auto"/>
          </w:tcPr>
          <w:p w14:paraId="17C6B2A9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Indicate trend – describe the trend of violence</w:t>
            </w:r>
          </w:p>
        </w:tc>
      </w:tr>
      <w:tr w:rsidR="004D7296" w:rsidRPr="00DE3BF9" w14:paraId="7D3170A8" w14:textId="77777777" w:rsidTr="32AC6B8A">
        <w:tc>
          <w:tcPr>
            <w:tcW w:w="10031" w:type="dxa"/>
            <w:shd w:val="clear" w:color="auto" w:fill="auto"/>
          </w:tcPr>
          <w:p w14:paraId="4998924D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Is there an active intervention order?</w:t>
            </w:r>
          </w:p>
        </w:tc>
      </w:tr>
      <w:tr w:rsidR="004D7296" w:rsidRPr="00DE3BF9" w14:paraId="7C5A0D07" w14:textId="77777777" w:rsidTr="32AC6B8A">
        <w:tc>
          <w:tcPr>
            <w:tcW w:w="10031" w:type="dxa"/>
            <w:shd w:val="clear" w:color="auto" w:fill="auto"/>
          </w:tcPr>
          <w:p w14:paraId="6CBBD151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Offender</w:t>
            </w: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 xml:space="preserve"> risk / vulnerabilities</w:t>
            </w:r>
          </w:p>
        </w:tc>
      </w:tr>
      <w:tr w:rsidR="004D7296" w:rsidRPr="00DE3BF9" w14:paraId="56C07D7A" w14:textId="77777777" w:rsidTr="32AC6B8A">
        <w:tc>
          <w:tcPr>
            <w:tcW w:w="10031" w:type="dxa"/>
            <w:shd w:val="clear" w:color="auto" w:fill="auto"/>
          </w:tcPr>
          <w:p w14:paraId="25B2C872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 xml:space="preserve">Did police member apply for an intervention order? / </w:t>
            </w:r>
            <w:proofErr w:type="gramStart"/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who</w:t>
            </w:r>
            <w:proofErr w:type="gramEnd"/>
            <w:r w:rsidRPr="00DE3BF9">
              <w:rPr>
                <w:rFonts w:asciiTheme="minorHAnsi" w:hAnsiTheme="minorHAnsi" w:cstheme="minorHAnsi"/>
                <w:sz w:val="24"/>
                <w:szCs w:val="24"/>
              </w:rPr>
              <w:t xml:space="preserve"> applied for intervention order?</w:t>
            </w:r>
          </w:p>
        </w:tc>
      </w:tr>
      <w:tr w:rsidR="004D7296" w:rsidRPr="00DE3BF9" w14:paraId="12970186" w14:textId="77777777" w:rsidTr="32AC6B8A">
        <w:tc>
          <w:tcPr>
            <w:tcW w:w="10031" w:type="dxa"/>
            <w:shd w:val="clear" w:color="auto" w:fill="auto"/>
          </w:tcPr>
          <w:p w14:paraId="319A96C6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Complaint and Warrant used?</w:t>
            </w:r>
          </w:p>
        </w:tc>
      </w:tr>
      <w:tr w:rsidR="004D7296" w:rsidRPr="00DE3BF9" w14:paraId="28E98AD5" w14:textId="77777777" w:rsidTr="32AC6B8A">
        <w:tc>
          <w:tcPr>
            <w:tcW w:w="10031" w:type="dxa"/>
            <w:shd w:val="clear" w:color="auto" w:fill="auto"/>
          </w:tcPr>
          <w:p w14:paraId="4622321E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Firearms / weapons / Hazards</w:t>
            </w:r>
          </w:p>
        </w:tc>
      </w:tr>
      <w:tr w:rsidR="004D7296" w:rsidRPr="00DE3BF9" w14:paraId="1C696876" w14:textId="77777777" w:rsidTr="32AC6B8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227FD05E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Who was Threatened</w:t>
            </w:r>
          </w:p>
        </w:tc>
      </w:tr>
      <w:tr w:rsidR="004D7296" w:rsidRPr="00DE3BF9" w14:paraId="348CF1DA" w14:textId="77777777" w:rsidTr="32AC6B8A">
        <w:tc>
          <w:tcPr>
            <w:tcW w:w="10031" w:type="dxa"/>
            <w:shd w:val="clear" w:color="auto" w:fill="auto"/>
          </w:tcPr>
          <w:p w14:paraId="12D94732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Risk management strategy</w:t>
            </w:r>
          </w:p>
        </w:tc>
      </w:tr>
      <w:tr w:rsidR="004D7296" w:rsidRPr="00DE3BF9" w14:paraId="59CC6D62" w14:textId="77777777" w:rsidTr="32AC6B8A">
        <w:tc>
          <w:tcPr>
            <w:tcW w:w="10031" w:type="dxa"/>
            <w:shd w:val="clear" w:color="auto" w:fill="auto"/>
          </w:tcPr>
          <w:p w14:paraId="1E2703E0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Victim High Risk indicators</w:t>
            </w:r>
          </w:p>
        </w:tc>
      </w:tr>
      <w:tr w:rsidR="004D7296" w:rsidRPr="00DE3BF9" w14:paraId="4D1B6774" w14:textId="77777777" w:rsidTr="32AC6B8A">
        <w:tc>
          <w:tcPr>
            <w:tcW w:w="10031" w:type="dxa"/>
            <w:shd w:val="clear" w:color="auto" w:fill="auto"/>
          </w:tcPr>
          <w:p w14:paraId="128D2D9C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Victim’s level of fear</w:t>
            </w:r>
          </w:p>
        </w:tc>
      </w:tr>
      <w:tr w:rsidR="004D7296" w:rsidRPr="00DE3BF9" w14:paraId="1064DE06" w14:textId="77777777" w:rsidTr="32AC6B8A">
        <w:tc>
          <w:tcPr>
            <w:tcW w:w="10031" w:type="dxa"/>
            <w:shd w:val="clear" w:color="auto" w:fill="auto"/>
          </w:tcPr>
          <w:p w14:paraId="2F5CA64E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Victim Risk / vulnerabilities</w:t>
            </w:r>
          </w:p>
        </w:tc>
      </w:tr>
      <w:tr w:rsidR="004D7296" w:rsidRPr="00DE3BF9" w14:paraId="6CA2C4AD" w14:textId="77777777" w:rsidTr="32AC6B8A">
        <w:tc>
          <w:tcPr>
            <w:tcW w:w="10031" w:type="dxa"/>
            <w:shd w:val="clear" w:color="auto" w:fill="auto"/>
          </w:tcPr>
          <w:p w14:paraId="08A63DF0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Relationship risk / vulnerabilities</w:t>
            </w:r>
          </w:p>
        </w:tc>
      </w:tr>
      <w:tr w:rsidR="004D7296" w:rsidRPr="00DE3BF9" w14:paraId="6EC4855D" w14:textId="77777777" w:rsidTr="32AC6B8A">
        <w:tc>
          <w:tcPr>
            <w:tcW w:w="10031" w:type="dxa"/>
            <w:shd w:val="clear" w:color="auto" w:fill="auto"/>
          </w:tcPr>
          <w:p w14:paraId="3B600C4C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bCs/>
                <w:sz w:val="24"/>
                <w:szCs w:val="24"/>
              </w:rPr>
              <w:t>Offender</w:t>
            </w: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 xml:space="preserve"> risk indicators</w:t>
            </w:r>
          </w:p>
        </w:tc>
      </w:tr>
      <w:tr w:rsidR="004D7296" w:rsidRPr="00DE3BF9" w14:paraId="3D91149F" w14:textId="77777777" w:rsidTr="32AC6B8A">
        <w:tc>
          <w:tcPr>
            <w:tcW w:w="10031" w:type="dxa"/>
            <w:shd w:val="clear" w:color="auto" w:fill="auto"/>
          </w:tcPr>
          <w:p w14:paraId="043D451D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Cause of incident</w:t>
            </w:r>
          </w:p>
        </w:tc>
      </w:tr>
      <w:tr w:rsidR="004D7296" w:rsidRPr="00DE3BF9" w14:paraId="449E377A" w14:textId="77777777" w:rsidTr="32AC6B8A">
        <w:tc>
          <w:tcPr>
            <w:tcW w:w="10031" w:type="dxa"/>
            <w:shd w:val="clear" w:color="auto" w:fill="auto"/>
          </w:tcPr>
          <w:p w14:paraId="01D0DC40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Existing orders</w:t>
            </w:r>
          </w:p>
        </w:tc>
      </w:tr>
      <w:tr w:rsidR="004D7296" w:rsidRPr="00DE3BF9" w14:paraId="49FB10D2" w14:textId="77777777" w:rsidTr="32AC6B8A">
        <w:tc>
          <w:tcPr>
            <w:tcW w:w="10031" w:type="dxa"/>
            <w:shd w:val="clear" w:color="auto" w:fill="auto"/>
          </w:tcPr>
          <w:p w14:paraId="04C30DF5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Assessment of future risks</w:t>
            </w:r>
          </w:p>
        </w:tc>
      </w:tr>
      <w:tr w:rsidR="004D7296" w:rsidRPr="00DE3BF9" w14:paraId="727D38AC" w14:textId="77777777" w:rsidTr="32AC6B8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C1378F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Holding powers used</w:t>
            </w:r>
          </w:p>
        </w:tc>
      </w:tr>
      <w:tr w:rsidR="004D7296" w:rsidRPr="00DE3BF9" w14:paraId="5411484F" w14:textId="77777777" w:rsidTr="32AC6B8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F40283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GBV Safety Notice Used</w:t>
            </w:r>
          </w:p>
        </w:tc>
      </w:tr>
      <w:tr w:rsidR="004D7296" w:rsidRPr="00DE3BF9" w14:paraId="1C2BF2B1" w14:textId="77777777" w:rsidTr="32AC6B8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0FEE0B" w14:textId="77777777" w:rsidR="004D7296" w:rsidRPr="00DE3BF9" w:rsidRDefault="004D7296" w:rsidP="00F30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BF9">
              <w:rPr>
                <w:rFonts w:asciiTheme="minorHAnsi" w:hAnsiTheme="minorHAnsi" w:cstheme="minorHAnsi"/>
                <w:sz w:val="24"/>
                <w:szCs w:val="24"/>
              </w:rPr>
              <w:t>Referrals made / advised</w:t>
            </w:r>
          </w:p>
        </w:tc>
      </w:tr>
    </w:tbl>
    <w:p w14:paraId="5D0A29D8" w14:textId="77777777" w:rsidR="001E09C9" w:rsidRPr="00DE3BF9" w:rsidRDefault="001E09C9" w:rsidP="001E09C9">
      <w:pPr>
        <w:rPr>
          <w:rFonts w:asciiTheme="minorHAnsi" w:hAnsiTheme="minorHAnsi" w:cstheme="minorHAnsi"/>
          <w:sz w:val="24"/>
          <w:szCs w:val="24"/>
        </w:rPr>
      </w:pPr>
    </w:p>
    <w:p w14:paraId="69F4307D" w14:textId="77777777" w:rsidR="00DC50DA" w:rsidRPr="00DE3BF9" w:rsidRDefault="00DC50DA" w:rsidP="00827AEE">
      <w:pPr>
        <w:rPr>
          <w:rFonts w:asciiTheme="minorHAnsi" w:hAnsiTheme="minorHAnsi" w:cstheme="minorHAnsi"/>
          <w:sz w:val="24"/>
          <w:szCs w:val="24"/>
        </w:rPr>
      </w:pPr>
    </w:p>
    <w:sectPr w:rsidR="00DC50DA" w:rsidRPr="00DE3BF9" w:rsidSect="00D95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35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1A8A" w14:textId="77777777" w:rsidR="00CF6B47" w:rsidRDefault="00CF6B47">
      <w:r>
        <w:separator/>
      </w:r>
    </w:p>
  </w:endnote>
  <w:endnote w:type="continuationSeparator" w:id="0">
    <w:p w14:paraId="5071F352" w14:textId="77777777" w:rsidR="00CF6B47" w:rsidRDefault="00CF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9E29" w14:textId="2BB28406" w:rsidR="00A52CC5" w:rsidRDefault="00A52CC5" w:rsidP="00F436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D1FB4">
      <w:rPr>
        <w:rStyle w:val="PageNumber"/>
      </w:rPr>
      <w:fldChar w:fldCharType="separate"/>
    </w:r>
    <w:r w:rsidR="002D1FB4">
      <w:rPr>
        <w:rStyle w:val="PageNumber"/>
        <w:noProof/>
      </w:rPr>
      <w:t>6</w:t>
    </w:r>
    <w:r>
      <w:rPr>
        <w:rStyle w:val="PageNumber"/>
      </w:rPr>
      <w:fldChar w:fldCharType="end"/>
    </w:r>
  </w:p>
  <w:p w14:paraId="1EA214A1" w14:textId="77777777" w:rsidR="0096294E" w:rsidRDefault="0096294E" w:rsidP="00A52C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1945786"/>
      <w:docPartObj>
        <w:docPartGallery w:val="Page Numbers (Bottom of Page)"/>
        <w:docPartUnique/>
      </w:docPartObj>
    </w:sdtPr>
    <w:sdtContent>
      <w:p w14:paraId="0F485608" w14:textId="6359674C" w:rsidR="00A52CC5" w:rsidRDefault="00A52CC5" w:rsidP="00F4369F">
        <w:pPr>
          <w:pStyle w:val="Footer"/>
          <w:framePr w:wrap="none" w:vAnchor="text" w:hAnchor="margin" w:xAlign="right" w:y="1"/>
          <w:rPr>
            <w:rStyle w:val="PageNumber"/>
          </w:rPr>
        </w:pPr>
        <w:r w:rsidRPr="00A52CC5">
          <w:rPr>
            <w:rStyle w:val="PageNumber"/>
            <w:rFonts w:asciiTheme="minorHAnsi" w:hAnsiTheme="minorHAnsi" w:cstheme="minorHAnsi"/>
            <w:sz w:val="20"/>
          </w:rPr>
          <w:fldChar w:fldCharType="begin"/>
        </w:r>
        <w:r w:rsidRPr="00A52CC5">
          <w:rPr>
            <w:rStyle w:val="PageNumber"/>
            <w:rFonts w:asciiTheme="minorHAnsi" w:hAnsiTheme="minorHAnsi" w:cstheme="minorHAnsi"/>
            <w:sz w:val="20"/>
          </w:rPr>
          <w:instrText xml:space="preserve"> PAGE </w:instrText>
        </w:r>
        <w:r w:rsidRPr="00A52CC5">
          <w:rPr>
            <w:rStyle w:val="PageNumber"/>
            <w:rFonts w:asciiTheme="minorHAnsi" w:hAnsiTheme="minorHAnsi" w:cstheme="minorHAnsi"/>
            <w:sz w:val="20"/>
          </w:rPr>
          <w:fldChar w:fldCharType="separate"/>
        </w:r>
        <w:r w:rsidRPr="00A52CC5">
          <w:rPr>
            <w:rStyle w:val="PageNumber"/>
            <w:rFonts w:asciiTheme="minorHAnsi" w:hAnsiTheme="minorHAnsi" w:cstheme="minorHAnsi"/>
            <w:noProof/>
            <w:sz w:val="20"/>
          </w:rPr>
          <w:t>5</w:t>
        </w:r>
        <w:r w:rsidRPr="00A52CC5">
          <w:rPr>
            <w:rStyle w:val="PageNumber"/>
            <w:rFonts w:asciiTheme="minorHAnsi" w:hAnsiTheme="minorHAnsi" w:cstheme="minorHAnsi"/>
            <w:sz w:val="20"/>
          </w:rPr>
          <w:fldChar w:fldCharType="end"/>
        </w:r>
      </w:p>
    </w:sdtContent>
  </w:sdt>
  <w:p w14:paraId="0C2905F5" w14:textId="587157F6" w:rsidR="005E7352" w:rsidRPr="00C8668E" w:rsidRDefault="005E7352" w:rsidP="00A52CC5">
    <w:pPr>
      <w:spacing w:line="240" w:lineRule="exact"/>
      <w:ind w:right="360"/>
    </w:pPr>
    <w:r w:rsidRPr="00C8668E">
      <w:rPr>
        <w:rFonts w:ascii="Arial" w:hAnsi="Arial"/>
        <w:color w:val="808080"/>
        <w:sz w:val="16"/>
      </w:rPr>
      <w:t>Memorandum of Understanding</w:t>
    </w:r>
    <w:r w:rsidR="004D7296">
      <w:rPr>
        <w:rFonts w:ascii="Arial" w:hAnsi="Arial"/>
        <w:color w:val="808080"/>
        <w:sz w:val="16"/>
      </w:rPr>
      <w:t xml:space="preserve"> [</w:t>
    </w:r>
    <w:r w:rsidR="004D7296" w:rsidRPr="004D7296">
      <w:rPr>
        <w:rFonts w:ascii="Arial" w:hAnsi="Arial"/>
        <w:color w:val="808080"/>
        <w:sz w:val="16"/>
        <w:highlight w:val="yellow"/>
      </w:rPr>
      <w:t>agency providing data</w:t>
    </w:r>
    <w:r w:rsidR="004D7296">
      <w:rPr>
        <w:rFonts w:ascii="Arial" w:hAnsi="Arial"/>
        <w:color w:val="808080"/>
        <w:sz w:val="16"/>
      </w:rPr>
      <w:t>]</w:t>
    </w:r>
    <w:r w:rsidRPr="00C8668E">
      <w:rPr>
        <w:rFonts w:ascii="Arial" w:hAnsi="Arial"/>
        <w:color w:val="808080"/>
        <w:sz w:val="16"/>
      </w:rPr>
      <w:t xml:space="preserve"> and </w:t>
    </w:r>
    <w:r w:rsidR="004D7296">
      <w:rPr>
        <w:rFonts w:ascii="Arial" w:hAnsi="Arial"/>
        <w:color w:val="808080"/>
        <w:sz w:val="16"/>
      </w:rPr>
      <w:t>[</w:t>
    </w:r>
    <w:r w:rsidR="004D7296" w:rsidRPr="004D7296">
      <w:rPr>
        <w:rFonts w:ascii="Arial" w:hAnsi="Arial"/>
        <w:color w:val="808080"/>
        <w:sz w:val="16"/>
        <w:highlight w:val="yellow"/>
      </w:rPr>
      <w:t>agency receiving data</w:t>
    </w:r>
    <w:r w:rsidR="004D7296">
      <w:rPr>
        <w:rFonts w:ascii="Arial" w:hAnsi="Arial"/>
        <w:color w:val="808080"/>
        <w:sz w:val="16"/>
      </w:rPr>
      <w:t>]</w:t>
    </w:r>
    <w:r>
      <w:rPr>
        <w:rFonts w:ascii="Arial" w:hAnsi="Arial"/>
        <w:color w:val="808080"/>
        <w:sz w:val="16"/>
      </w:rPr>
      <w:tab/>
    </w:r>
    <w:r w:rsidR="004D7296">
      <w:rPr>
        <w:rFonts w:ascii="Arial" w:hAnsi="Arial"/>
        <w:color w:val="808080"/>
        <w:sz w:val="16"/>
      </w:rPr>
      <w:tab/>
    </w:r>
    <w:r w:rsidR="004D7296">
      <w:rPr>
        <w:rFonts w:ascii="Arial" w:hAnsi="Arial"/>
        <w:color w:val="808080"/>
        <w:sz w:val="16"/>
      </w:rPr>
      <w:tab/>
    </w:r>
    <w:r w:rsidR="004D7296">
      <w:rPr>
        <w:rFonts w:ascii="Arial" w:hAnsi="Arial"/>
        <w:color w:val="808080"/>
        <w:sz w:val="16"/>
      </w:rPr>
      <w:tab/>
    </w:r>
    <w:r w:rsidR="004D7296">
      <w:rPr>
        <w:rFonts w:ascii="Arial" w:hAnsi="Arial"/>
        <w:color w:val="808080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364"/>
      <w:gridCol w:w="1417"/>
    </w:tblGrid>
    <w:tr w:rsidR="005E7352" w14:paraId="21C7EA71" w14:textId="77777777">
      <w:trPr>
        <w:trHeight w:val="998"/>
      </w:trPr>
      <w:tc>
        <w:tcPr>
          <w:tcW w:w="8364" w:type="dxa"/>
        </w:tcPr>
        <w:p w14:paraId="2A89C4AF" w14:textId="77777777" w:rsidR="005E7352" w:rsidRPr="00C8668E" w:rsidRDefault="005E7352">
          <w:pPr>
            <w:spacing w:line="240" w:lineRule="exact"/>
            <w:rPr>
              <w:i/>
              <w:color w:val="808080"/>
              <w:sz w:val="18"/>
              <w:szCs w:val="18"/>
            </w:rPr>
          </w:pPr>
          <w:r w:rsidRPr="00C8668E">
            <w:rPr>
              <w:i/>
              <w:color w:val="808080"/>
              <w:sz w:val="18"/>
              <w:szCs w:val="18"/>
            </w:rPr>
            <w:t>Memorandum of Understanding</w:t>
          </w:r>
        </w:p>
        <w:p w14:paraId="024B30CA" w14:textId="77777777" w:rsidR="005E7352" w:rsidRPr="00C8668E" w:rsidRDefault="005E7352" w:rsidP="003B22F5">
          <w:pPr>
            <w:rPr>
              <w:b/>
              <w:i/>
              <w:sz w:val="18"/>
              <w:szCs w:val="18"/>
            </w:rPr>
          </w:pPr>
          <w:r w:rsidRPr="00C8668E">
            <w:rPr>
              <w:i/>
              <w:color w:val="808080"/>
              <w:sz w:val="18"/>
              <w:szCs w:val="18"/>
            </w:rPr>
            <w:t>Court Statistical Services and the Victorian Women’s Policy Branch, Victims Support Agency</w:t>
          </w:r>
          <w:r w:rsidRPr="00C8668E">
            <w:rPr>
              <w:b/>
              <w:i/>
              <w:sz w:val="18"/>
              <w:szCs w:val="18"/>
            </w:rPr>
            <w:t xml:space="preserve"> </w:t>
          </w:r>
        </w:p>
        <w:p w14:paraId="199B663D" w14:textId="77777777" w:rsidR="005E7352" w:rsidRDefault="005E7352">
          <w:pPr>
            <w:spacing w:line="240" w:lineRule="exact"/>
            <w:rPr>
              <w:rFonts w:ascii="Arial" w:hAnsi="Arial"/>
              <w:color w:val="808080"/>
              <w:sz w:val="16"/>
            </w:rPr>
          </w:pPr>
        </w:p>
      </w:tc>
      <w:tc>
        <w:tcPr>
          <w:tcW w:w="1417" w:type="dxa"/>
        </w:tcPr>
        <w:p w14:paraId="79ADF61F" w14:textId="77777777" w:rsidR="005E7352" w:rsidRPr="00C8668E" w:rsidRDefault="005E7352">
          <w:pPr>
            <w:pStyle w:val="Footer"/>
            <w:rPr>
              <w:sz w:val="18"/>
              <w:szCs w:val="18"/>
            </w:rPr>
          </w:pPr>
          <w:r w:rsidRPr="00C8668E">
            <w:rPr>
              <w:rStyle w:val="PageNumber"/>
              <w:i/>
              <w:sz w:val="18"/>
              <w:szCs w:val="18"/>
            </w:rPr>
            <w:fldChar w:fldCharType="begin"/>
          </w:r>
          <w:r w:rsidRPr="00C8668E">
            <w:rPr>
              <w:rStyle w:val="PageNumber"/>
              <w:i/>
              <w:sz w:val="18"/>
              <w:szCs w:val="18"/>
            </w:rPr>
            <w:instrText xml:space="preserve"> PAGE </w:instrText>
          </w:r>
          <w:r w:rsidRPr="00C8668E">
            <w:rPr>
              <w:rStyle w:val="PageNumber"/>
              <w:i/>
              <w:sz w:val="18"/>
              <w:szCs w:val="18"/>
            </w:rPr>
            <w:fldChar w:fldCharType="separate"/>
          </w:r>
          <w:r>
            <w:rPr>
              <w:rStyle w:val="PageNumber"/>
              <w:i/>
              <w:noProof/>
              <w:sz w:val="18"/>
              <w:szCs w:val="18"/>
            </w:rPr>
            <w:t>1</w:t>
          </w:r>
          <w:r w:rsidRPr="00C8668E">
            <w:rPr>
              <w:rStyle w:val="PageNumber"/>
              <w:i/>
              <w:sz w:val="18"/>
              <w:szCs w:val="18"/>
            </w:rPr>
            <w:fldChar w:fldCharType="end"/>
          </w:r>
        </w:p>
      </w:tc>
    </w:tr>
  </w:tbl>
  <w:p w14:paraId="0D79A92D" w14:textId="77777777" w:rsidR="005E7352" w:rsidRDefault="005E735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B1E0" w14:textId="77777777" w:rsidR="00CF6B47" w:rsidRDefault="00CF6B47">
      <w:r>
        <w:separator/>
      </w:r>
    </w:p>
  </w:footnote>
  <w:footnote w:type="continuationSeparator" w:id="0">
    <w:p w14:paraId="79595EDB" w14:textId="77777777" w:rsidR="00CF6B47" w:rsidRDefault="00CF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F029" w14:textId="69787151" w:rsidR="00F01D13" w:rsidRDefault="00000000">
    <w:pPr>
      <w:pStyle w:val="Header"/>
    </w:pPr>
    <w:r>
      <w:rPr>
        <w:noProof/>
      </w:rPr>
      <w:pict w14:anchorId="4CA029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45223" o:spid="_x0000_s1027" type="#_x0000_t136" alt="" style="position:absolute;margin-left:0;margin-top:0;width:549.6pt;height:137.4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8A79" w14:textId="0FC34946" w:rsidR="00F01D13" w:rsidRDefault="00000000">
    <w:pPr>
      <w:pStyle w:val="Header"/>
    </w:pPr>
    <w:r>
      <w:rPr>
        <w:noProof/>
      </w:rPr>
      <w:pict w14:anchorId="51DEC1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45224" o:spid="_x0000_s1026" type="#_x0000_t136" alt="" style="position:absolute;margin-left:0;margin-top:0;width:549.6pt;height:137.4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DFD" w14:textId="6C32E9E5" w:rsidR="005E7352" w:rsidRDefault="00000000">
    <w:pPr>
      <w:rPr>
        <w:sz w:val="38"/>
      </w:rPr>
    </w:pPr>
    <w:r>
      <w:rPr>
        <w:noProof/>
      </w:rPr>
      <w:pict w14:anchorId="7843E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45222" o:spid="_x0000_s1025" type="#_x0000_t136" alt="" style="position:absolute;margin-left:0;margin-top:0;width:549.6pt;height:137.4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TEMPLATE"/>
          <w10:wrap anchorx="margin" anchory="margin"/>
        </v:shape>
      </w:pict>
    </w:r>
    <w:r w:rsidR="00ED26BE">
      <w:rPr>
        <w:noProof/>
      </w:rPr>
      <w:object w:dxaOrig="1305" w:dyaOrig="1635" w14:anchorId="5DD75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.5pt;height:65pt;mso-width-percent:0;mso-height-percent:0;mso-width-percent:0;mso-height-percent:0" fillcolor="window">
          <v:imagedata r:id="rId1" o:title=""/>
        </v:shape>
        <o:OLEObject Type="Embed" ProgID="MSDraw" ShapeID="_x0000_i1025" DrawAspect="Content" ObjectID="_1733219531" r:id="rId2">
          <o:FieldCodes>\* mergeformat</o:FieldCodes>
        </o:OLEObject>
      </w:object>
    </w:r>
    <w:r w:rsidR="005E7352">
      <w:t xml:space="preserve">     </w:t>
    </w:r>
    <w:r w:rsidR="005E7352">
      <w:rPr>
        <w:sz w:val="38"/>
      </w:rPr>
      <w:t>Department of Justice</w:t>
    </w:r>
  </w:p>
  <w:p w14:paraId="0EAEC73E" w14:textId="77777777" w:rsidR="005E7352" w:rsidRDefault="002D42DF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F529E2F" wp14:editId="2F8B5302">
              <wp:simplePos x="0" y="0"/>
              <wp:positionH relativeFrom="column">
                <wp:posOffset>11430</wp:posOffset>
              </wp:positionH>
              <wp:positionV relativeFrom="paragraph">
                <wp:posOffset>60325</wp:posOffset>
              </wp:positionV>
              <wp:extent cx="612648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1B7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75pt" to="483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" o:allowincell="f" strokeweight=".5pt">
              <o:lock v:ext="edit" shapetype="f"/>
            </v:line>
          </w:pict>
        </mc:Fallback>
      </mc:AlternateContent>
    </w:r>
  </w:p>
  <w:tbl>
    <w:tblPr>
      <w:tblW w:w="0" w:type="auto"/>
      <w:tblInd w:w="1380" w:type="dxa"/>
      <w:tblLayout w:type="fixed"/>
      <w:tblLook w:val="0000" w:firstRow="0" w:lastRow="0" w:firstColumn="0" w:lastColumn="0" w:noHBand="0" w:noVBand="0"/>
    </w:tblPr>
    <w:tblGrid>
      <w:gridCol w:w="5958"/>
      <w:gridCol w:w="2551"/>
    </w:tblGrid>
    <w:tr w:rsidR="005E7352" w14:paraId="02E36F1C" w14:textId="77777777">
      <w:tc>
        <w:tcPr>
          <w:tcW w:w="5958" w:type="dxa"/>
        </w:tcPr>
        <w:p w14:paraId="621E5151" w14:textId="77777777" w:rsidR="005E7352" w:rsidRDefault="005E7352">
          <w:bookmarkStart w:id="1" w:name="Unit"/>
          <w:bookmarkStart w:id="2" w:name="Div"/>
          <w:bookmarkEnd w:id="1"/>
          <w:bookmarkEnd w:id="2"/>
        </w:p>
        <w:p w14:paraId="40226851" w14:textId="77777777" w:rsidR="005E7352" w:rsidRDefault="005E7352">
          <w:pPr>
            <w:pStyle w:val="Footer"/>
            <w:tabs>
              <w:tab w:val="clear" w:pos="4153"/>
              <w:tab w:val="clear" w:pos="8306"/>
            </w:tabs>
          </w:pPr>
        </w:p>
      </w:tc>
      <w:tc>
        <w:tcPr>
          <w:tcW w:w="2551" w:type="dxa"/>
        </w:tcPr>
        <w:p w14:paraId="0308C7BE" w14:textId="77777777" w:rsidR="005E7352" w:rsidRDefault="005E7352">
          <w:pPr>
            <w:spacing w:line="240" w:lineRule="exact"/>
            <w:rPr>
              <w:spacing w:val="12"/>
              <w:sz w:val="16"/>
            </w:rPr>
          </w:pPr>
          <w:bookmarkStart w:id="3" w:name="Level"/>
          <w:bookmarkStart w:id="4" w:name="Add"/>
          <w:bookmarkEnd w:id="3"/>
          <w:bookmarkEnd w:id="4"/>
        </w:p>
      </w:tc>
    </w:tr>
  </w:tbl>
  <w:p w14:paraId="6A2A49A8" w14:textId="77777777" w:rsidR="005E7352" w:rsidRDefault="005E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729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19874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E7"/>
    <w:rsid w:val="000043AA"/>
    <w:rsid w:val="0000657B"/>
    <w:rsid w:val="000341A2"/>
    <w:rsid w:val="00042761"/>
    <w:rsid w:val="000635F0"/>
    <w:rsid w:val="00097C38"/>
    <w:rsid w:val="000D0EF3"/>
    <w:rsid w:val="000E4332"/>
    <w:rsid w:val="000F023A"/>
    <w:rsid w:val="00102CD7"/>
    <w:rsid w:val="001764A7"/>
    <w:rsid w:val="001A4D7A"/>
    <w:rsid w:val="001E09C9"/>
    <w:rsid w:val="001F49AF"/>
    <w:rsid w:val="00250DEA"/>
    <w:rsid w:val="00284321"/>
    <w:rsid w:val="0029647A"/>
    <w:rsid w:val="002D1FB4"/>
    <w:rsid w:val="002D42DF"/>
    <w:rsid w:val="003459F8"/>
    <w:rsid w:val="00362A0E"/>
    <w:rsid w:val="003763F8"/>
    <w:rsid w:val="003B22F5"/>
    <w:rsid w:val="003F5CF0"/>
    <w:rsid w:val="0041471F"/>
    <w:rsid w:val="00434BDE"/>
    <w:rsid w:val="004A5281"/>
    <w:rsid w:val="004D7296"/>
    <w:rsid w:val="00577D7E"/>
    <w:rsid w:val="005B7E7D"/>
    <w:rsid w:val="005C5CCA"/>
    <w:rsid w:val="005E1DF1"/>
    <w:rsid w:val="005E7352"/>
    <w:rsid w:val="00675361"/>
    <w:rsid w:val="00686545"/>
    <w:rsid w:val="006A4FE7"/>
    <w:rsid w:val="006B5146"/>
    <w:rsid w:val="006D1AF2"/>
    <w:rsid w:val="00740DB2"/>
    <w:rsid w:val="00751558"/>
    <w:rsid w:val="0079134D"/>
    <w:rsid w:val="007D5E91"/>
    <w:rsid w:val="00827AEE"/>
    <w:rsid w:val="008B3725"/>
    <w:rsid w:val="008D55A8"/>
    <w:rsid w:val="009568AE"/>
    <w:rsid w:val="0096294E"/>
    <w:rsid w:val="00976A4B"/>
    <w:rsid w:val="00981C9E"/>
    <w:rsid w:val="009839F6"/>
    <w:rsid w:val="009C2D08"/>
    <w:rsid w:val="009D1000"/>
    <w:rsid w:val="009F54BC"/>
    <w:rsid w:val="00A16EE0"/>
    <w:rsid w:val="00A4532C"/>
    <w:rsid w:val="00A52CC5"/>
    <w:rsid w:val="00A83D3F"/>
    <w:rsid w:val="00AF6347"/>
    <w:rsid w:val="00B2190F"/>
    <w:rsid w:val="00B31CC7"/>
    <w:rsid w:val="00B701B4"/>
    <w:rsid w:val="00BB45A0"/>
    <w:rsid w:val="00C15B24"/>
    <w:rsid w:val="00C1611E"/>
    <w:rsid w:val="00C43792"/>
    <w:rsid w:val="00C568F7"/>
    <w:rsid w:val="00C749B3"/>
    <w:rsid w:val="00C8668E"/>
    <w:rsid w:val="00C91556"/>
    <w:rsid w:val="00CB1B40"/>
    <w:rsid w:val="00CE36C8"/>
    <w:rsid w:val="00CF6B47"/>
    <w:rsid w:val="00CF753D"/>
    <w:rsid w:val="00D761C5"/>
    <w:rsid w:val="00D93CD4"/>
    <w:rsid w:val="00D956EA"/>
    <w:rsid w:val="00DC2CC0"/>
    <w:rsid w:val="00DC50DA"/>
    <w:rsid w:val="00DE251E"/>
    <w:rsid w:val="00DE3BF9"/>
    <w:rsid w:val="00DE5DDE"/>
    <w:rsid w:val="00DF495F"/>
    <w:rsid w:val="00E30FC0"/>
    <w:rsid w:val="00E337D2"/>
    <w:rsid w:val="00E54CF9"/>
    <w:rsid w:val="00E85A0C"/>
    <w:rsid w:val="00EC4A92"/>
    <w:rsid w:val="00ED26BE"/>
    <w:rsid w:val="00EF6466"/>
    <w:rsid w:val="00F01D13"/>
    <w:rsid w:val="00F305B7"/>
    <w:rsid w:val="00F46416"/>
    <w:rsid w:val="00F76D15"/>
    <w:rsid w:val="00FB79BD"/>
    <w:rsid w:val="00FE7F29"/>
    <w:rsid w:val="00FF1275"/>
    <w:rsid w:val="32AC6B8A"/>
    <w:rsid w:val="382FD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BCCCA"/>
  <w15:chartTrackingRefBased/>
  <w15:docId w15:val="{E118AE25-8193-FB42-8BCD-BC60D92D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AU"/>
    </w:rPr>
  </w:style>
  <w:style w:type="paragraph" w:styleId="Heading1">
    <w:name w:val="heading 1"/>
    <w:basedOn w:val="Normal"/>
    <w:next w:val="Normal"/>
    <w:qFormat/>
    <w:rsid w:val="00B219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19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C5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C50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2">
    <w:name w:val="Body Text 2"/>
    <w:basedOn w:val="Normal"/>
    <w:rPr>
      <w:color w:val="FF000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3">
    <w:name w:val="Body Text 3"/>
    <w:basedOn w:val="Normal"/>
    <w:rsid w:val="00B2190F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3763F8"/>
    <w:rPr>
      <w:sz w:val="16"/>
      <w:szCs w:val="16"/>
    </w:rPr>
  </w:style>
  <w:style w:type="paragraph" w:styleId="CommentText">
    <w:name w:val="annotation text"/>
    <w:basedOn w:val="Normal"/>
    <w:semiHidden/>
    <w:rsid w:val="003763F8"/>
  </w:style>
  <w:style w:type="paragraph" w:styleId="CommentSubject">
    <w:name w:val="annotation subject"/>
    <w:basedOn w:val="CommentText"/>
    <w:next w:val="CommentText"/>
    <w:semiHidden/>
    <w:rsid w:val="003763F8"/>
    <w:rPr>
      <w:b/>
      <w:bCs/>
    </w:rPr>
  </w:style>
  <w:style w:type="paragraph" w:styleId="BalloonText">
    <w:name w:val="Balloon Text"/>
    <w:basedOn w:val="Normal"/>
    <w:semiHidden/>
    <w:rsid w:val="00376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A6A5-47E9-4C77-8F46-F82A83CC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6098</Characters>
  <Application>Microsoft Office Word</Application>
  <DocSecurity>0</DocSecurity>
  <Lines>50</Lines>
  <Paragraphs>14</Paragraphs>
  <ScaleCrop>false</ScaleCrop>
  <Company>Department of Justice Victoria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Adrichem</dc:creator>
  <cp:keywords/>
  <cp:lastModifiedBy>Jasmin Isobe</cp:lastModifiedBy>
  <cp:revision>5</cp:revision>
  <cp:lastPrinted>2022-12-22T02:06:00Z</cp:lastPrinted>
  <dcterms:created xsi:type="dcterms:W3CDTF">2022-12-08T03:52:00Z</dcterms:created>
  <dcterms:modified xsi:type="dcterms:W3CDTF">2022-12-22T02:06:00Z</dcterms:modified>
</cp:coreProperties>
</file>